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75" w:rsidRDefault="00037475" w:rsidP="00037475">
      <w:pPr>
        <w:pStyle w:val="Ttulo"/>
        <w:jc w:val="center"/>
        <w:rPr>
          <w:lang w:val="es-ES_tradnl"/>
        </w:rPr>
      </w:pPr>
      <w:r>
        <w:rPr>
          <w:lang w:val="es-ES_tradnl"/>
        </w:rPr>
        <w:t>Intervención sobre el Sur-Sureste en la reunión privada de gobernadores</w:t>
      </w:r>
    </w:p>
    <w:p w:rsidR="00037475" w:rsidRDefault="00037475" w:rsidP="00037475">
      <w:pPr>
        <w:jc w:val="both"/>
        <w:rPr>
          <w:rFonts w:ascii="Arial" w:hAnsi="Arial" w:cs="Arial"/>
          <w:sz w:val="24"/>
          <w:lang w:val="es-ES_tradnl"/>
        </w:rPr>
      </w:pPr>
      <w:r>
        <w:rPr>
          <w:rFonts w:ascii="Arial" w:hAnsi="Arial" w:cs="Arial"/>
          <w:sz w:val="24"/>
          <w:lang w:val="es-ES_tradnl"/>
        </w:rPr>
        <w:t xml:space="preserve">Como parte de las actividades que se han realizado en el seno de la Comisión para el Desarrollo Integral de la Región Sur-Sureste, que me honro en coordinar y a través del esfuerzo compartido de los </w:t>
      </w:r>
      <w:r w:rsidRPr="00D26F6C">
        <w:rPr>
          <w:rFonts w:ascii="Arial" w:hAnsi="Arial" w:cs="Arial"/>
          <w:sz w:val="24"/>
          <w:lang w:val="es-ES_tradnl"/>
        </w:rPr>
        <w:t>gobernadores que integramos la Comisión,</w:t>
      </w:r>
      <w:r>
        <w:rPr>
          <w:rFonts w:ascii="Arial" w:hAnsi="Arial" w:cs="Arial"/>
          <w:sz w:val="24"/>
          <w:lang w:val="es-ES_tradnl"/>
        </w:rPr>
        <w:t xml:space="preserve"> destaco:</w:t>
      </w:r>
    </w:p>
    <w:p w:rsidR="00640BA4" w:rsidRDefault="00037475" w:rsidP="00640BA4">
      <w:pPr>
        <w:pStyle w:val="Prrafodelista"/>
        <w:numPr>
          <w:ilvl w:val="0"/>
          <w:numId w:val="2"/>
        </w:numPr>
        <w:jc w:val="both"/>
        <w:rPr>
          <w:rFonts w:ascii="Arial" w:hAnsi="Arial" w:cs="Arial"/>
          <w:sz w:val="24"/>
          <w:lang w:val="es-ES_tradnl"/>
        </w:rPr>
      </w:pPr>
      <w:r w:rsidRPr="00640BA4">
        <w:rPr>
          <w:rFonts w:ascii="Arial" w:hAnsi="Arial" w:cs="Arial"/>
          <w:sz w:val="24"/>
          <w:lang w:val="es-ES_tradnl"/>
        </w:rPr>
        <w:t>Derivado de</w:t>
      </w:r>
      <w:r w:rsidR="00640BA4" w:rsidRPr="00640BA4">
        <w:rPr>
          <w:rFonts w:ascii="Arial" w:hAnsi="Arial" w:cs="Arial"/>
          <w:sz w:val="24"/>
          <w:lang w:val="es-ES_tradnl"/>
        </w:rPr>
        <w:t>l compromiso #67 del Pacto por México</w:t>
      </w:r>
      <w:r w:rsidRPr="00640BA4">
        <w:rPr>
          <w:rFonts w:ascii="Arial" w:hAnsi="Arial" w:cs="Arial"/>
          <w:sz w:val="24"/>
          <w:lang w:val="es-ES_tradnl"/>
        </w:rPr>
        <w:t xml:space="preserve"> asumido por el Presidente de la República, Enrique Peña Nieto, </w:t>
      </w:r>
      <w:r w:rsidR="00DA0379">
        <w:rPr>
          <w:rFonts w:ascii="Arial" w:hAnsi="Arial" w:cs="Arial"/>
          <w:sz w:val="24"/>
          <w:lang w:val="es-ES_tradnl"/>
        </w:rPr>
        <w:t>la Comisión para el Desarrollo Integral de la Región Sur-Sureste participó de forma coordinada con la Secretaría de Desarrollo Agrario, Territorial y Urbano en la elaboración</w:t>
      </w:r>
      <w:r w:rsidR="00640BA4" w:rsidRPr="00640BA4">
        <w:rPr>
          <w:rFonts w:ascii="Arial" w:hAnsi="Arial" w:cs="Arial"/>
          <w:sz w:val="24"/>
          <w:lang w:val="es-ES_tradnl"/>
        </w:rPr>
        <w:t xml:space="preserve"> de la </w:t>
      </w:r>
      <w:r w:rsidR="00640BA4" w:rsidRPr="00640BA4">
        <w:rPr>
          <w:rFonts w:ascii="Arial" w:hAnsi="Arial" w:cs="Arial"/>
          <w:i/>
          <w:sz w:val="24"/>
        </w:rPr>
        <w:t xml:space="preserve">Estrategia Nacional para el Desarrollo del Sur-Sureste, </w:t>
      </w:r>
      <w:r w:rsidR="00DA0379">
        <w:rPr>
          <w:rFonts w:ascii="Arial" w:hAnsi="Arial" w:cs="Arial"/>
          <w:sz w:val="24"/>
          <w:lang w:val="es-ES_tradnl"/>
        </w:rPr>
        <w:t>que representa un</w:t>
      </w:r>
      <w:r w:rsidRPr="00640BA4">
        <w:rPr>
          <w:rFonts w:ascii="Arial" w:hAnsi="Arial" w:cs="Arial"/>
          <w:sz w:val="24"/>
          <w:lang w:val="es-ES_tradnl"/>
        </w:rPr>
        <w:t xml:space="preserve"> instrumento de concertación política entre órdenes de gobierno, para una mejor y más eficaz gobernanza en el Sur-Sureste. </w:t>
      </w:r>
    </w:p>
    <w:p w:rsidR="00DA0379" w:rsidRDefault="00DA0379" w:rsidP="00DA0379">
      <w:pPr>
        <w:pStyle w:val="Prrafodelista"/>
        <w:jc w:val="both"/>
        <w:rPr>
          <w:rFonts w:ascii="Arial" w:hAnsi="Arial" w:cs="Arial"/>
          <w:sz w:val="24"/>
          <w:lang w:val="es-ES_tradnl"/>
        </w:rPr>
      </w:pPr>
    </w:p>
    <w:p w:rsidR="00640BA4" w:rsidRDefault="00DA0379" w:rsidP="00DA0379">
      <w:pPr>
        <w:pStyle w:val="Prrafodelista"/>
        <w:jc w:val="both"/>
        <w:rPr>
          <w:rFonts w:ascii="Arial" w:hAnsi="Arial" w:cs="Arial"/>
          <w:sz w:val="24"/>
          <w:lang w:val="es-ES_tradnl"/>
        </w:rPr>
      </w:pPr>
      <w:r w:rsidRPr="00F438F1">
        <w:rPr>
          <w:rFonts w:ascii="Arial" w:hAnsi="Arial" w:cs="Arial"/>
          <w:sz w:val="24"/>
          <w:lang w:val="es-ES_tradnl"/>
        </w:rPr>
        <w:t xml:space="preserve">La Estrategia Nacional de Desarrollo de la Región Sur-Sureste define lineamientos estratégicos para cada uno de los seis ámbitos temáticos y para cada una de las seis subregiones antes señaladas, mismos que se espera sean discutidos, enriquecidos y asumidos en el seno de cada uno de los grupos temáticos y subregionales aludidos. </w:t>
      </w:r>
    </w:p>
    <w:p w:rsidR="00DA0379" w:rsidRPr="00DA0379" w:rsidRDefault="00DA0379" w:rsidP="00DA0379">
      <w:pPr>
        <w:pStyle w:val="Prrafodelista"/>
        <w:jc w:val="both"/>
        <w:rPr>
          <w:rFonts w:ascii="Arial" w:hAnsi="Arial" w:cs="Arial"/>
          <w:sz w:val="24"/>
          <w:lang w:val="es-ES_tradnl"/>
        </w:rPr>
      </w:pPr>
    </w:p>
    <w:p w:rsidR="006D4976" w:rsidRDefault="00DA0379" w:rsidP="00DA0379">
      <w:pPr>
        <w:pStyle w:val="Prrafodelista"/>
        <w:numPr>
          <w:ilvl w:val="0"/>
          <w:numId w:val="2"/>
        </w:numPr>
        <w:jc w:val="both"/>
        <w:rPr>
          <w:rFonts w:ascii="Arial" w:hAnsi="Arial" w:cs="Arial"/>
          <w:sz w:val="24"/>
          <w:lang w:val="es-ES_tradnl"/>
        </w:rPr>
      </w:pPr>
      <w:r w:rsidRPr="00DA0379">
        <w:rPr>
          <w:rFonts w:ascii="Arial" w:hAnsi="Arial" w:cs="Arial"/>
          <w:sz w:val="24"/>
          <w:lang w:val="es-ES_tradnl"/>
        </w:rPr>
        <w:t xml:space="preserve">La </w:t>
      </w:r>
      <w:r w:rsidR="00640BA4" w:rsidRPr="00DA0379">
        <w:rPr>
          <w:rFonts w:ascii="Arial" w:hAnsi="Arial" w:cs="Arial"/>
          <w:sz w:val="24"/>
          <w:lang w:val="es-ES_tradnl"/>
        </w:rPr>
        <w:t>Identificación y gestión de estudios asociados a la preparación de proyectos de inversión pública prioritarios para los estados que integran la región, mediante</w:t>
      </w:r>
      <w:r w:rsidRPr="00DA0379">
        <w:rPr>
          <w:rFonts w:ascii="Arial" w:hAnsi="Arial" w:cs="Arial"/>
          <w:sz w:val="24"/>
          <w:lang w:val="es-ES_tradnl"/>
        </w:rPr>
        <w:t xml:space="preserve"> l</w:t>
      </w:r>
      <w:r w:rsidR="00037475" w:rsidRPr="00DA0379">
        <w:rPr>
          <w:rFonts w:ascii="Arial" w:hAnsi="Arial" w:cs="Arial"/>
          <w:sz w:val="24"/>
          <w:lang w:val="es-ES_tradnl"/>
        </w:rPr>
        <w:t>a realización de estudios con recursos de FONSUR 2014 que han permitido a la fecha justificar inversiones en proyectos de inversión pública por 19 mil 741 millones de pesos, susceptibles de incorporarse al Presupuesto de Egresos de la Federación 2016 entre los que destacan los relativos a:</w:t>
      </w:r>
    </w:p>
    <w:p w:rsidR="006D4976" w:rsidRDefault="006D4976" w:rsidP="006D4976">
      <w:pPr>
        <w:tabs>
          <w:tab w:val="left" w:pos="5070"/>
        </w:tabs>
        <w:rPr>
          <w:rFonts w:ascii="Arial" w:hAnsi="Arial" w:cs="Arial"/>
          <w:sz w:val="24"/>
          <w:lang w:val="es-ES_tradnl"/>
        </w:rPr>
      </w:pPr>
      <w:bookmarkStart w:id="0" w:name="_GoBack"/>
      <w:bookmarkEnd w:id="0"/>
    </w:p>
    <w:p w:rsidR="006D4976" w:rsidRDefault="006D4976" w:rsidP="006D4976">
      <w:pPr>
        <w:tabs>
          <w:tab w:val="left" w:pos="5070"/>
        </w:tabs>
        <w:rPr>
          <w:rFonts w:ascii="Arial" w:hAnsi="Arial" w:cs="Arial"/>
          <w:sz w:val="24"/>
          <w:lang w:val="es-ES_tradnl"/>
        </w:rPr>
      </w:pPr>
      <w:r w:rsidRPr="006D4976">
        <w:rPr>
          <w:rFonts w:ascii="Arial" w:hAnsi="Arial" w:cs="Arial"/>
          <w:sz w:val="24"/>
          <w:lang w:val="es-ES_tradnl"/>
        </w:rPr>
        <w:br w:type="page"/>
      </w:r>
      <w:r>
        <w:rPr>
          <w:rFonts w:ascii="Arial" w:hAnsi="Arial" w:cs="Arial"/>
          <w:sz w:val="24"/>
          <w:lang w:val="es-ES_tradnl"/>
        </w:rPr>
        <w:lastRenderedPageBreak/>
        <w:tab/>
      </w:r>
    </w:p>
    <w:tbl>
      <w:tblPr>
        <w:tblW w:w="6980" w:type="dxa"/>
        <w:jc w:val="center"/>
        <w:tblInd w:w="55" w:type="dxa"/>
        <w:tblCellMar>
          <w:left w:w="70" w:type="dxa"/>
          <w:right w:w="70" w:type="dxa"/>
        </w:tblCellMar>
        <w:tblLook w:val="04A0" w:firstRow="1" w:lastRow="0" w:firstColumn="1" w:lastColumn="0" w:noHBand="0" w:noVBand="1"/>
      </w:tblPr>
      <w:tblGrid>
        <w:gridCol w:w="5780"/>
        <w:gridCol w:w="1200"/>
      </w:tblGrid>
      <w:tr w:rsidR="00037475" w:rsidRPr="003D79DE" w:rsidTr="00247C32">
        <w:trPr>
          <w:trHeight w:val="300"/>
          <w:jc w:val="center"/>
        </w:trPr>
        <w:tc>
          <w:tcPr>
            <w:tcW w:w="6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475" w:rsidRPr="003D79DE" w:rsidRDefault="00037475" w:rsidP="00247C32">
            <w:pPr>
              <w:spacing w:after="0" w:line="240" w:lineRule="auto"/>
              <w:jc w:val="center"/>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 xml:space="preserve">Inversión para Proyectos Derivada de Estudios </w:t>
            </w:r>
            <w:proofErr w:type="spellStart"/>
            <w:r w:rsidRPr="003D79DE">
              <w:rPr>
                <w:rFonts w:ascii="Calibri" w:eastAsia="Times New Roman" w:hAnsi="Calibri" w:cs="Times New Roman"/>
                <w:b/>
                <w:bCs/>
                <w:color w:val="000000"/>
                <w:lang w:eastAsia="es-MX"/>
              </w:rPr>
              <w:t>Fonsur</w:t>
            </w:r>
            <w:proofErr w:type="spellEnd"/>
            <w:r w:rsidRPr="003D79DE">
              <w:rPr>
                <w:rFonts w:ascii="Calibri" w:eastAsia="Times New Roman" w:hAnsi="Calibri" w:cs="Times New Roman"/>
                <w:b/>
                <w:bCs/>
                <w:color w:val="000000"/>
                <w:lang w:eastAsia="es-MX"/>
              </w:rPr>
              <w:t xml:space="preserve"> 2014 </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noWrap/>
            <w:vAlign w:val="bottom"/>
            <w:hideMark/>
          </w:tcPr>
          <w:p w:rsidR="00037475" w:rsidRPr="003D79DE" w:rsidRDefault="00037475" w:rsidP="00247C32">
            <w:pPr>
              <w:spacing w:after="0" w:line="240" w:lineRule="auto"/>
              <w:jc w:val="center"/>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Estudio</w:t>
            </w:r>
          </w:p>
        </w:tc>
        <w:tc>
          <w:tcPr>
            <w:tcW w:w="1200" w:type="dxa"/>
            <w:tcBorders>
              <w:top w:val="nil"/>
              <w:left w:val="nil"/>
              <w:bottom w:val="single" w:sz="4" w:space="0" w:color="auto"/>
              <w:right w:val="single" w:sz="4" w:space="0" w:color="auto"/>
            </w:tcBorders>
            <w:shd w:val="clear" w:color="auto" w:fill="auto"/>
            <w:noWrap/>
            <w:vAlign w:val="bottom"/>
            <w:hideMark/>
          </w:tcPr>
          <w:p w:rsidR="00037475" w:rsidRPr="003D79DE" w:rsidRDefault="00037475" w:rsidP="00247C32">
            <w:pPr>
              <w:spacing w:after="0" w:line="240" w:lineRule="auto"/>
              <w:jc w:val="center"/>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MDP</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Campeche</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4,682</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both"/>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Construcción de libramiento Ferroviario de la Cd. de Campeche</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348</w:t>
            </w:r>
          </w:p>
        </w:tc>
      </w:tr>
      <w:tr w:rsidR="00037475" w:rsidRPr="003D79DE" w:rsidTr="00247C32">
        <w:trPr>
          <w:trHeight w:val="9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both"/>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Modernización de 281 kilómetros de la carretera federal 180 tramo Villahermosa - Frontera – Cd. Del Carmen - Champotón.</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4,335</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Chiapas</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1,204</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Centro Regulador de Tráfico Vehicular en la Aduana de Ciudad Hidalgo</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210</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Construcción  de una Terminal Ferroviaria e Intermodal en Ciudad Hidalgo</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294</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Centro Logístico en Ciudad  Hidalgo</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489</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Plataforma Logística  «Llano San Juan»</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210</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Quintana Roo</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5,893</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both"/>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Circuito Carretero Peninsular Mundo Maya</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5,198</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both"/>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Libramiento Periférico Norte de la Ciudad de Chetumal</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419</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both"/>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Ampliación del Boulevard Bahía; Tramo Chetumal – Subteniente López – Puente Internacional de Belice</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276</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Tabasco</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6,285</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 xml:space="preserve">Modernización de la Carretera Federal 186, Tramo: Macuspana-Escárcega-Chetumal </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5,535</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 xml:space="preserve">Modernización de la Carretera Federal 195, Tramo: Playas del Rosario-Teapa </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493</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both"/>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Construcción de una Vía</w:t>
            </w:r>
            <w:r>
              <w:rPr>
                <w:rFonts w:ascii="Calibri" w:eastAsia="Times New Roman" w:hAnsi="Calibri" w:cs="Times New Roman"/>
                <w:color w:val="000000"/>
                <w:lang w:eastAsia="es-MX"/>
              </w:rPr>
              <w:t xml:space="preserve"> Corta: Bulevar Bicentenario-Cu</w:t>
            </w:r>
            <w:r w:rsidRPr="003D79DE">
              <w:rPr>
                <w:rFonts w:ascii="Calibri" w:eastAsia="Times New Roman" w:hAnsi="Calibri" w:cs="Times New Roman"/>
                <w:color w:val="000000"/>
                <w:lang w:eastAsia="es-MX"/>
              </w:rPr>
              <w:t>nduacán</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258</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Yucatán</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1,677</w:t>
            </w:r>
          </w:p>
        </w:tc>
      </w:tr>
      <w:tr w:rsidR="00037475" w:rsidRPr="003D79DE" w:rsidTr="00247C32">
        <w:trPr>
          <w:trHeight w:val="6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Construcción del libramiento ferroviario de la Cd. de Mérida y su conexión al Puerto de Progreso</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color w:val="000000"/>
                <w:lang w:eastAsia="es-MX"/>
              </w:rPr>
            </w:pPr>
            <w:r w:rsidRPr="003D79DE">
              <w:rPr>
                <w:rFonts w:ascii="Calibri" w:eastAsia="Times New Roman" w:hAnsi="Calibri" w:cs="Times New Roman"/>
                <w:color w:val="000000"/>
                <w:lang w:eastAsia="es-MX"/>
              </w:rPr>
              <w:t>1,677</w:t>
            </w:r>
          </w:p>
        </w:tc>
      </w:tr>
      <w:tr w:rsidR="00037475" w:rsidRPr="003D79DE" w:rsidTr="00247C32">
        <w:trPr>
          <w:trHeight w:val="300"/>
          <w:jc w:val="center"/>
        </w:trPr>
        <w:tc>
          <w:tcPr>
            <w:tcW w:w="5780" w:type="dxa"/>
            <w:tcBorders>
              <w:top w:val="nil"/>
              <w:left w:val="single" w:sz="4" w:space="0" w:color="auto"/>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rPr>
                <w:rFonts w:ascii="Calibri" w:eastAsia="Times New Roman" w:hAnsi="Calibri" w:cs="Times New Roman"/>
                <w:b/>
                <w:bCs/>
                <w:color w:val="000000"/>
                <w:lang w:eastAsia="es-MX"/>
              </w:rPr>
            </w:pPr>
            <w:r w:rsidRPr="003D79DE">
              <w:rPr>
                <w:rFonts w:ascii="Calibri" w:eastAsia="Times New Roman" w:hAnsi="Calibri" w:cs="Times New Roman"/>
                <w:b/>
                <w:bCs/>
                <w:color w:val="000000"/>
                <w:lang w:eastAsia="es-MX"/>
              </w:rPr>
              <w:t>TOTAL</w:t>
            </w:r>
          </w:p>
        </w:tc>
        <w:tc>
          <w:tcPr>
            <w:tcW w:w="1200" w:type="dxa"/>
            <w:tcBorders>
              <w:top w:val="nil"/>
              <w:left w:val="nil"/>
              <w:bottom w:val="single" w:sz="4" w:space="0" w:color="auto"/>
              <w:right w:val="single" w:sz="4" w:space="0" w:color="auto"/>
            </w:tcBorders>
            <w:shd w:val="clear" w:color="auto" w:fill="auto"/>
            <w:vAlign w:val="center"/>
            <w:hideMark/>
          </w:tcPr>
          <w:p w:rsidR="00037475" w:rsidRPr="003D79DE" w:rsidRDefault="00037475" w:rsidP="00247C32">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19,741</w:t>
            </w:r>
          </w:p>
        </w:tc>
      </w:tr>
    </w:tbl>
    <w:p w:rsidR="00640BA4" w:rsidRDefault="00640BA4" w:rsidP="00640BA4">
      <w:pPr>
        <w:jc w:val="both"/>
        <w:rPr>
          <w:rFonts w:ascii="Arial" w:hAnsi="Arial" w:cs="Arial"/>
          <w:sz w:val="24"/>
          <w:lang w:val="es-ES_tradnl"/>
        </w:rPr>
      </w:pPr>
    </w:p>
    <w:p w:rsidR="00037475" w:rsidRPr="00640BA4" w:rsidRDefault="00640BA4" w:rsidP="00640BA4">
      <w:pPr>
        <w:jc w:val="both"/>
        <w:rPr>
          <w:rFonts w:ascii="Arial" w:hAnsi="Arial" w:cs="Arial"/>
          <w:sz w:val="24"/>
          <w:lang w:val="es-ES_tradnl"/>
        </w:rPr>
      </w:pPr>
      <w:r>
        <w:rPr>
          <w:rFonts w:ascii="Arial" w:hAnsi="Arial" w:cs="Arial"/>
          <w:sz w:val="24"/>
          <w:lang w:val="es-ES_tradnl"/>
        </w:rPr>
        <w:lastRenderedPageBreak/>
        <w:t>Así como la</w:t>
      </w:r>
      <w:r w:rsidR="00037475" w:rsidRPr="00640BA4">
        <w:rPr>
          <w:rFonts w:ascii="Arial" w:hAnsi="Arial" w:cs="Arial"/>
          <w:sz w:val="24"/>
          <w:lang w:val="es-ES_tradnl"/>
        </w:rPr>
        <w:t xml:space="preserve"> presentación a la SHCP de carteras de estudios estatales pactadas a nivel regional para su financiamiento con recursos de FONSUR 2015 que arrojarán un segundo paquete de proyectos de inversión susceptible de incorporarse al PEF 2017.</w:t>
      </w:r>
    </w:p>
    <w:p w:rsidR="001C71E5" w:rsidRDefault="00DA0379" w:rsidP="001C71E5">
      <w:pPr>
        <w:pStyle w:val="Prrafodelista"/>
        <w:numPr>
          <w:ilvl w:val="0"/>
          <w:numId w:val="6"/>
        </w:numPr>
        <w:jc w:val="both"/>
        <w:rPr>
          <w:rFonts w:ascii="Arial" w:hAnsi="Arial" w:cs="Arial"/>
          <w:sz w:val="24"/>
        </w:rPr>
      </w:pPr>
      <w:r w:rsidRPr="001C71E5">
        <w:rPr>
          <w:rFonts w:ascii="Arial" w:hAnsi="Arial" w:cs="Arial"/>
          <w:sz w:val="24"/>
          <w:lang w:val="es-ES_tradnl"/>
        </w:rPr>
        <w:t>Como parte del</w:t>
      </w:r>
      <w:r w:rsidR="00037475" w:rsidRPr="001C71E5">
        <w:rPr>
          <w:rFonts w:ascii="Arial" w:hAnsi="Arial" w:cs="Arial"/>
          <w:sz w:val="24"/>
          <w:lang w:val="es-ES_tradnl"/>
        </w:rPr>
        <w:t xml:space="preserve"> establecimiento de bases sólidas para la planeación y gestión regional del desarrollo integral del Sur-Sureste, </w:t>
      </w:r>
      <w:r w:rsidRPr="001C71E5">
        <w:rPr>
          <w:rFonts w:ascii="Arial" w:hAnsi="Arial" w:cs="Arial"/>
          <w:sz w:val="24"/>
          <w:lang w:val="es-ES_tradnl"/>
        </w:rPr>
        <w:t xml:space="preserve">en </w:t>
      </w:r>
      <w:r w:rsidR="00037475" w:rsidRPr="001C71E5">
        <w:rPr>
          <w:rFonts w:ascii="Arial" w:hAnsi="Arial" w:cs="Arial"/>
          <w:sz w:val="24"/>
          <w:lang w:val="es-ES_tradnl"/>
        </w:rPr>
        <w:t>el marco de la cuarta reunión de la Comisión Ejecutiva, que tuvo lugar en Mérida e</w:t>
      </w:r>
      <w:r w:rsidRPr="001C71E5">
        <w:rPr>
          <w:rFonts w:ascii="Arial" w:hAnsi="Arial" w:cs="Arial"/>
          <w:sz w:val="24"/>
          <w:lang w:val="es-ES_tradnl"/>
        </w:rPr>
        <w:t xml:space="preserve">l 27 de abril del presente año, se llevó a cabo </w:t>
      </w:r>
      <w:r w:rsidRPr="001C71E5">
        <w:rPr>
          <w:rFonts w:ascii="Arial" w:hAnsi="Arial" w:cs="Arial"/>
          <w:sz w:val="24"/>
        </w:rPr>
        <w:t>la suscripción de un convenio cuyo objeto es sentar las bases de coordinación entre la Comisión de Desarrollo Integral de la Región Sur-Sureste de la CONAGO y la Secretaría de Desarrollo Agrario, Territorial y Urbano, para la implementación articulada y sinérgica de la Estrategia Nacional de Desarrollo de la Región Sur-Sureste y el Programa Regional de Desarrollo del Sur-Sureste 2014-2018.</w:t>
      </w:r>
    </w:p>
    <w:p w:rsidR="001C71E5" w:rsidRDefault="001C71E5" w:rsidP="001C71E5">
      <w:pPr>
        <w:pStyle w:val="Prrafodelista"/>
        <w:jc w:val="both"/>
        <w:rPr>
          <w:rFonts w:ascii="Arial" w:hAnsi="Arial" w:cs="Arial"/>
          <w:sz w:val="24"/>
        </w:rPr>
      </w:pPr>
    </w:p>
    <w:p w:rsidR="001C71E5" w:rsidRPr="001C71E5" w:rsidRDefault="001C71E5" w:rsidP="001C71E5">
      <w:pPr>
        <w:pStyle w:val="Prrafodelista"/>
        <w:jc w:val="both"/>
        <w:rPr>
          <w:rFonts w:ascii="Arial" w:hAnsi="Arial" w:cs="Arial"/>
          <w:sz w:val="24"/>
        </w:rPr>
      </w:pPr>
      <w:r w:rsidRPr="001C71E5">
        <w:rPr>
          <w:rFonts w:ascii="Arial" w:hAnsi="Arial" w:cs="Arial"/>
          <w:sz w:val="24"/>
        </w:rPr>
        <w:t>El convenio suscrito contiene un gran significado político:</w:t>
      </w:r>
    </w:p>
    <w:p w:rsidR="001C71E5" w:rsidRPr="001C71E5" w:rsidRDefault="001C71E5" w:rsidP="001C71E5">
      <w:pPr>
        <w:pStyle w:val="Prrafodelista"/>
        <w:numPr>
          <w:ilvl w:val="0"/>
          <w:numId w:val="4"/>
        </w:numPr>
        <w:jc w:val="both"/>
        <w:rPr>
          <w:rFonts w:ascii="Arial" w:hAnsi="Arial" w:cs="Arial"/>
          <w:sz w:val="24"/>
        </w:rPr>
      </w:pPr>
      <w:r w:rsidRPr="001C71E5">
        <w:rPr>
          <w:rFonts w:ascii="Arial" w:hAnsi="Arial" w:cs="Arial"/>
          <w:sz w:val="24"/>
        </w:rPr>
        <w:t xml:space="preserve">Un conjunto de gobiernos estatales de distintos signos políticos suman voluntades para impulsar en forma proactiva la convergencia de las acciones del Gobierno Federal y de los gobiernos estatales en pro de un desarrollo integral de la región, con perspectiva de largo plazo. </w:t>
      </w:r>
    </w:p>
    <w:p w:rsidR="00DA0379" w:rsidRPr="001C71E5" w:rsidRDefault="001C71E5" w:rsidP="001C71E5">
      <w:pPr>
        <w:pStyle w:val="Prrafodelista"/>
        <w:numPr>
          <w:ilvl w:val="0"/>
          <w:numId w:val="4"/>
        </w:numPr>
        <w:jc w:val="both"/>
        <w:rPr>
          <w:rFonts w:ascii="Arial" w:hAnsi="Arial" w:cs="Arial"/>
          <w:sz w:val="24"/>
        </w:rPr>
      </w:pPr>
      <w:r w:rsidRPr="001C71E5">
        <w:rPr>
          <w:rFonts w:ascii="Arial" w:hAnsi="Arial" w:cs="Arial"/>
          <w:sz w:val="24"/>
        </w:rPr>
        <w:t>Lo hacemos con el apoyo y el compromiso de un Gobierno Federal abierto a una interacción más equilibrada con los gobiernos estatales, en una lógica de fortalecimiento del federalismo, en pro de la superación de los rezagos del Sur-Sureste y su inserción en el desarrollo nacional y global.</w:t>
      </w:r>
    </w:p>
    <w:p w:rsidR="00037475" w:rsidRPr="00D26F6C" w:rsidRDefault="00037475" w:rsidP="00037475">
      <w:pPr>
        <w:jc w:val="both"/>
        <w:rPr>
          <w:lang w:val="es-ES_tradnl"/>
        </w:rPr>
      </w:pPr>
    </w:p>
    <w:p w:rsidR="00666BAD" w:rsidRDefault="00666BAD"/>
    <w:sectPr w:rsidR="00666BA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AF" w:rsidRDefault="001D04AF">
      <w:pPr>
        <w:spacing w:after="0" w:line="240" w:lineRule="auto"/>
      </w:pPr>
      <w:r>
        <w:separator/>
      </w:r>
    </w:p>
  </w:endnote>
  <w:endnote w:type="continuationSeparator" w:id="0">
    <w:p w:rsidR="001D04AF" w:rsidRDefault="001D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816347"/>
      <w:docPartObj>
        <w:docPartGallery w:val="Page Numbers (Bottom of Page)"/>
        <w:docPartUnique/>
      </w:docPartObj>
    </w:sdtPr>
    <w:sdtEndPr/>
    <w:sdtContent>
      <w:p w:rsidR="006D4976" w:rsidRDefault="006D4976" w:rsidP="006D4976">
        <w:pPr>
          <w:pStyle w:val="Piedepgina"/>
          <w:jc w:val="center"/>
        </w:pPr>
      </w:p>
      <w:p w:rsidR="006D4976" w:rsidRDefault="006D4976" w:rsidP="006D4976">
        <w:pPr>
          <w:pStyle w:val="Piedepgina"/>
          <w:jc w:val="center"/>
          <w:rPr>
            <w:rFonts w:ascii="Arial" w:hAnsi="Arial" w:cs="Arial"/>
            <w:lang w:val="es-ES"/>
          </w:rPr>
        </w:pPr>
        <w:r>
          <w:rPr>
            <w:rFonts w:ascii="Arial" w:hAnsi="Arial" w:cs="Arial"/>
            <w:lang w:val="es-ES"/>
          </w:rPr>
          <w:t>Tlaxcala, Tlaxcala</w:t>
        </w:r>
      </w:p>
      <w:p w:rsidR="006D4976" w:rsidRDefault="006D4976" w:rsidP="006D4976">
        <w:pPr>
          <w:pStyle w:val="Piedepgina"/>
          <w:jc w:val="center"/>
          <w:rPr>
            <w:rFonts w:ascii="Arial" w:hAnsi="Arial" w:cs="Arial"/>
            <w:lang w:val="es-ES"/>
          </w:rPr>
        </w:pPr>
        <w:r>
          <w:rPr>
            <w:rFonts w:ascii="Arial" w:hAnsi="Arial" w:cs="Arial"/>
            <w:lang w:val="es-ES"/>
          </w:rPr>
          <w:t>8 de julio de 2015</w:t>
        </w:r>
      </w:p>
      <w:p w:rsidR="00C759BB" w:rsidRDefault="00267740">
        <w:pPr>
          <w:pStyle w:val="Piedepgina"/>
          <w:jc w:val="right"/>
        </w:pPr>
        <w:r>
          <w:fldChar w:fldCharType="begin"/>
        </w:r>
        <w:r>
          <w:instrText>PAGE   \* MERGEFORMAT</w:instrText>
        </w:r>
        <w:r>
          <w:fldChar w:fldCharType="separate"/>
        </w:r>
        <w:r w:rsidR="006D4976" w:rsidRPr="006D4976">
          <w:rPr>
            <w:noProof/>
            <w:lang w:val="es-ES"/>
          </w:rPr>
          <w:t>3</w:t>
        </w:r>
        <w:r>
          <w:fldChar w:fldCharType="end"/>
        </w:r>
      </w:p>
    </w:sdtContent>
  </w:sdt>
  <w:p w:rsidR="00C759BB" w:rsidRDefault="001D04AF" w:rsidP="006D4976">
    <w:pPr>
      <w:pStyle w:val="Piedepgina"/>
      <w:tabs>
        <w:tab w:val="clear" w:pos="4419"/>
        <w:tab w:val="clear" w:pos="8838"/>
        <w:tab w:val="left" w:pos="61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AF" w:rsidRDefault="001D04AF">
      <w:pPr>
        <w:spacing w:after="0" w:line="240" w:lineRule="auto"/>
      </w:pPr>
      <w:r>
        <w:separator/>
      </w:r>
    </w:p>
  </w:footnote>
  <w:footnote w:type="continuationSeparator" w:id="0">
    <w:p w:rsidR="001D04AF" w:rsidRDefault="001D0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976" w:rsidRDefault="006D4976" w:rsidP="006D4976">
    <w:r>
      <w:rPr>
        <w:b/>
        <w:noProof/>
        <w:lang w:eastAsia="es-MX"/>
      </w:rPr>
      <w:drawing>
        <wp:anchor distT="0" distB="0" distL="114300" distR="114300" simplePos="0" relativeHeight="251659264" behindDoc="0" locked="0" layoutInCell="1" allowOverlap="1" wp14:anchorId="31F634C9" wp14:editId="4D53D344">
          <wp:simplePos x="0" y="0"/>
          <wp:positionH relativeFrom="margin">
            <wp:posOffset>-38100</wp:posOffset>
          </wp:positionH>
          <wp:positionV relativeFrom="margin">
            <wp:posOffset>-1333500</wp:posOffset>
          </wp:positionV>
          <wp:extent cx="809625" cy="1045210"/>
          <wp:effectExtent l="0" t="0" r="9525"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GO.JPG"/>
                  <pic:cNvPicPr/>
                </pic:nvPicPr>
                <pic:blipFill>
                  <a:blip r:embed="rId1">
                    <a:extLst>
                      <a:ext uri="{28A0092B-C50C-407E-A947-70E740481C1C}">
                        <a14:useLocalDpi xmlns:a14="http://schemas.microsoft.com/office/drawing/2010/main" val="0"/>
                      </a:ext>
                    </a:extLst>
                  </a:blip>
                  <a:stretch>
                    <a:fillRect/>
                  </a:stretch>
                </pic:blipFill>
                <pic:spPr>
                  <a:xfrm>
                    <a:off x="0" y="0"/>
                    <a:ext cx="809625" cy="1045210"/>
                  </a:xfrm>
                  <a:prstGeom prst="rect">
                    <a:avLst/>
                  </a:prstGeom>
                </pic:spPr>
              </pic:pic>
            </a:graphicData>
          </a:graphic>
          <wp14:sizeRelH relativeFrom="margin">
            <wp14:pctWidth>0</wp14:pctWidth>
          </wp14:sizeRelH>
          <wp14:sizeRelV relativeFrom="margin">
            <wp14:pctHeight>0</wp14:pctHeight>
          </wp14:sizeRelV>
        </wp:anchor>
      </w:drawing>
    </w:r>
  </w:p>
  <w:p w:rsidR="006D4976" w:rsidRDefault="006D4976" w:rsidP="006D4976">
    <w:pPr>
      <w:pStyle w:val="Encabezado"/>
      <w:tabs>
        <w:tab w:val="clear" w:pos="4419"/>
        <w:tab w:val="clear" w:pos="8838"/>
        <w:tab w:val="left" w:pos="2160"/>
      </w:tabs>
      <w:jc w:val="center"/>
      <w:rPr>
        <w:rFonts w:ascii="Arial" w:hAnsi="Arial"/>
        <w:b/>
        <w:sz w:val="32"/>
      </w:rPr>
    </w:pPr>
  </w:p>
  <w:p w:rsidR="006D4976" w:rsidRDefault="006D4976" w:rsidP="006D4976">
    <w:pPr>
      <w:pStyle w:val="Encabezado"/>
      <w:tabs>
        <w:tab w:val="clear" w:pos="4419"/>
        <w:tab w:val="clear" w:pos="8838"/>
        <w:tab w:val="left" w:pos="2160"/>
      </w:tabs>
      <w:jc w:val="center"/>
      <w:rPr>
        <w:rFonts w:ascii="Arial" w:hAnsi="Arial"/>
        <w:b/>
        <w:sz w:val="32"/>
      </w:rPr>
    </w:pPr>
    <w:r w:rsidRPr="006B75B3">
      <w:rPr>
        <w:rFonts w:ascii="Arial" w:hAnsi="Arial"/>
        <w:b/>
        <w:sz w:val="32"/>
      </w:rPr>
      <w:t>Conferencia Nacional de Gobernadores</w:t>
    </w:r>
  </w:p>
  <w:p w:rsidR="006D4976" w:rsidRDefault="006D4976" w:rsidP="006D4976">
    <w:pPr>
      <w:pStyle w:val="Encabezado"/>
      <w:tabs>
        <w:tab w:val="clear" w:pos="4419"/>
        <w:tab w:val="clear" w:pos="8838"/>
        <w:tab w:val="left" w:pos="2160"/>
      </w:tabs>
      <w:jc w:val="center"/>
      <w:rPr>
        <w:rFonts w:ascii="Arial" w:hAnsi="Arial"/>
        <w:b/>
        <w:sz w:val="32"/>
      </w:rPr>
    </w:pPr>
  </w:p>
  <w:p w:rsidR="006D4976" w:rsidRPr="006B75B3" w:rsidRDefault="006D4976" w:rsidP="006D4976">
    <w:pPr>
      <w:pStyle w:val="Encabezado"/>
      <w:tabs>
        <w:tab w:val="clear" w:pos="4419"/>
        <w:tab w:val="clear" w:pos="8838"/>
        <w:tab w:val="left" w:pos="2160"/>
      </w:tabs>
      <w:jc w:val="center"/>
      <w:rPr>
        <w:rFonts w:ascii="Arial" w:hAnsi="Arial"/>
        <w:b/>
        <w:sz w:val="32"/>
      </w:rPr>
    </w:pPr>
  </w:p>
  <w:p w:rsidR="006D4976" w:rsidRDefault="006D49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2545B"/>
    <w:multiLevelType w:val="hybridMultilevel"/>
    <w:tmpl w:val="B7F02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79716E8"/>
    <w:multiLevelType w:val="hybridMultilevel"/>
    <w:tmpl w:val="E470187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BA773A1"/>
    <w:multiLevelType w:val="hybridMultilevel"/>
    <w:tmpl w:val="580AC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28C67E5"/>
    <w:multiLevelType w:val="hybridMultilevel"/>
    <w:tmpl w:val="24D2CE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C7E4627"/>
    <w:multiLevelType w:val="hybridMultilevel"/>
    <w:tmpl w:val="05003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112A56"/>
    <w:multiLevelType w:val="hybridMultilevel"/>
    <w:tmpl w:val="B2306F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75"/>
    <w:rsid w:val="00037475"/>
    <w:rsid w:val="001C71E5"/>
    <w:rsid w:val="001D04AF"/>
    <w:rsid w:val="00267740"/>
    <w:rsid w:val="00640BA4"/>
    <w:rsid w:val="00666BAD"/>
    <w:rsid w:val="0067028D"/>
    <w:rsid w:val="006D4976"/>
    <w:rsid w:val="00811514"/>
    <w:rsid w:val="00C9683B"/>
    <w:rsid w:val="00DA03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37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747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37475"/>
    <w:pPr>
      <w:ind w:left="720"/>
      <w:contextualSpacing/>
    </w:pPr>
  </w:style>
  <w:style w:type="paragraph" w:styleId="Piedepgina">
    <w:name w:val="footer"/>
    <w:basedOn w:val="Normal"/>
    <w:link w:val="PiedepginaCar"/>
    <w:unhideWhenUsed/>
    <w:rsid w:val="00037475"/>
    <w:pPr>
      <w:tabs>
        <w:tab w:val="center" w:pos="4419"/>
        <w:tab w:val="right" w:pos="8838"/>
      </w:tabs>
      <w:spacing w:after="0" w:line="240" w:lineRule="auto"/>
    </w:pPr>
  </w:style>
  <w:style w:type="character" w:customStyle="1" w:styleId="PiedepginaCar">
    <w:name w:val="Pie de página Car"/>
    <w:basedOn w:val="Fuentedeprrafopredeter"/>
    <w:link w:val="Piedepgina"/>
    <w:rsid w:val="00037475"/>
  </w:style>
  <w:style w:type="paragraph" w:styleId="Textoindependiente">
    <w:name w:val="Body Text"/>
    <w:basedOn w:val="Normal"/>
    <w:link w:val="TextoindependienteCar"/>
    <w:uiPriority w:val="99"/>
    <w:unhideWhenUsed/>
    <w:rsid w:val="00DA0379"/>
    <w:pPr>
      <w:spacing w:after="120"/>
    </w:pPr>
  </w:style>
  <w:style w:type="character" w:customStyle="1" w:styleId="TextoindependienteCar">
    <w:name w:val="Texto independiente Car"/>
    <w:basedOn w:val="Fuentedeprrafopredeter"/>
    <w:link w:val="Textoindependiente"/>
    <w:uiPriority w:val="99"/>
    <w:rsid w:val="00DA0379"/>
  </w:style>
  <w:style w:type="paragraph" w:styleId="Textodeglobo">
    <w:name w:val="Balloon Text"/>
    <w:basedOn w:val="Normal"/>
    <w:link w:val="TextodegloboCar"/>
    <w:uiPriority w:val="99"/>
    <w:semiHidden/>
    <w:unhideWhenUsed/>
    <w:rsid w:val="002677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740"/>
    <w:rPr>
      <w:rFonts w:ascii="Tahoma" w:hAnsi="Tahoma" w:cs="Tahoma"/>
      <w:sz w:val="16"/>
      <w:szCs w:val="16"/>
    </w:rPr>
  </w:style>
  <w:style w:type="paragraph" w:styleId="Encabezado">
    <w:name w:val="header"/>
    <w:basedOn w:val="Normal"/>
    <w:link w:val="EncabezadoCar"/>
    <w:uiPriority w:val="99"/>
    <w:unhideWhenUsed/>
    <w:rsid w:val="006D4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976"/>
  </w:style>
  <w:style w:type="character" w:styleId="Nmerodepgina">
    <w:name w:val="page number"/>
    <w:basedOn w:val="Fuentedeprrafopredeter"/>
    <w:rsid w:val="006D49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0374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7475"/>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37475"/>
    <w:pPr>
      <w:ind w:left="720"/>
      <w:contextualSpacing/>
    </w:pPr>
  </w:style>
  <w:style w:type="paragraph" w:styleId="Piedepgina">
    <w:name w:val="footer"/>
    <w:basedOn w:val="Normal"/>
    <w:link w:val="PiedepginaCar"/>
    <w:unhideWhenUsed/>
    <w:rsid w:val="00037475"/>
    <w:pPr>
      <w:tabs>
        <w:tab w:val="center" w:pos="4419"/>
        <w:tab w:val="right" w:pos="8838"/>
      </w:tabs>
      <w:spacing w:after="0" w:line="240" w:lineRule="auto"/>
    </w:pPr>
  </w:style>
  <w:style w:type="character" w:customStyle="1" w:styleId="PiedepginaCar">
    <w:name w:val="Pie de página Car"/>
    <w:basedOn w:val="Fuentedeprrafopredeter"/>
    <w:link w:val="Piedepgina"/>
    <w:rsid w:val="00037475"/>
  </w:style>
  <w:style w:type="paragraph" w:styleId="Textoindependiente">
    <w:name w:val="Body Text"/>
    <w:basedOn w:val="Normal"/>
    <w:link w:val="TextoindependienteCar"/>
    <w:uiPriority w:val="99"/>
    <w:unhideWhenUsed/>
    <w:rsid w:val="00DA0379"/>
    <w:pPr>
      <w:spacing w:after="120"/>
    </w:pPr>
  </w:style>
  <w:style w:type="character" w:customStyle="1" w:styleId="TextoindependienteCar">
    <w:name w:val="Texto independiente Car"/>
    <w:basedOn w:val="Fuentedeprrafopredeter"/>
    <w:link w:val="Textoindependiente"/>
    <w:uiPriority w:val="99"/>
    <w:rsid w:val="00DA0379"/>
  </w:style>
  <w:style w:type="paragraph" w:styleId="Textodeglobo">
    <w:name w:val="Balloon Text"/>
    <w:basedOn w:val="Normal"/>
    <w:link w:val="TextodegloboCar"/>
    <w:uiPriority w:val="99"/>
    <w:semiHidden/>
    <w:unhideWhenUsed/>
    <w:rsid w:val="002677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7740"/>
    <w:rPr>
      <w:rFonts w:ascii="Tahoma" w:hAnsi="Tahoma" w:cs="Tahoma"/>
      <w:sz w:val="16"/>
      <w:szCs w:val="16"/>
    </w:rPr>
  </w:style>
  <w:style w:type="paragraph" w:styleId="Encabezado">
    <w:name w:val="header"/>
    <w:basedOn w:val="Normal"/>
    <w:link w:val="EncabezadoCar"/>
    <w:uiPriority w:val="99"/>
    <w:unhideWhenUsed/>
    <w:rsid w:val="006D4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4976"/>
  </w:style>
  <w:style w:type="character" w:styleId="Nmerodepgina">
    <w:name w:val="page number"/>
    <w:basedOn w:val="Fuentedeprrafopredeter"/>
    <w:rsid w:val="006D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3626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Karina</dc:creator>
  <cp:lastModifiedBy>JUAN OCEGUERA</cp:lastModifiedBy>
  <cp:revision>3</cp:revision>
  <cp:lastPrinted>2015-07-07T02:43:00Z</cp:lastPrinted>
  <dcterms:created xsi:type="dcterms:W3CDTF">2015-07-07T16:51:00Z</dcterms:created>
  <dcterms:modified xsi:type="dcterms:W3CDTF">2015-07-17T17:50:00Z</dcterms:modified>
</cp:coreProperties>
</file>