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9744" w14:textId="77777777" w:rsidR="00F709C7" w:rsidRPr="006F042C" w:rsidRDefault="00F647F2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Asunto: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Pronunciamientos durante la sesión de CONAGO </w:t>
      </w:r>
    </w:p>
    <w:p w14:paraId="0C91E34C" w14:textId="77777777" w:rsidR="00F709C7" w:rsidRPr="006F042C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</w:p>
    <w:p w14:paraId="53C99B0C" w14:textId="77777777" w:rsidR="00F709C7" w:rsidRPr="006F042C" w:rsidRDefault="00F647F2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Pronunciamiento 1: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Dando continuidad a la instrumentación del Decreto de Ventanilla Única Nacional nos comprometemos a impulsar el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diseño y rediseño de servicios digitales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en nuestras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entidades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a partir de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comprender las necesidades de los ciudadanos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,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anteponiendo la facilidad para el usuario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,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la inmediatez en la entrega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y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la simplicidad en la realización de los mismos desde cualquier lugar hora y dispositivo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>. Servicios digitales tan bien diseñados que los usuarios prefieren usarlos.</w:t>
      </w:r>
    </w:p>
    <w:p w14:paraId="784DFD4A" w14:textId="77777777" w:rsidR="00F709C7" w:rsidRPr="006F042C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</w:p>
    <w:p w14:paraId="62FAE93B" w14:textId="77777777" w:rsidR="00F709C7" w:rsidRPr="006F042C" w:rsidRDefault="00F647F2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Iniciando por el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rediseño de servicios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cuyo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 xml:space="preserve">requisitos 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ya se pueden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 xml:space="preserve">acreditar a través de la interoperabilidad 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entre instituciones como el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Registro Nacional de Población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haciendo efectivo el principio de </w:t>
      </w:r>
      <w:r w:rsidRPr="006F042C">
        <w:rPr>
          <w:rFonts w:ascii="Open Sans" w:eastAsia="Open Sans" w:hAnsi="Open Sans" w:cs="Open Sans"/>
          <w:i/>
          <w:sz w:val="20"/>
          <w:szCs w:val="20"/>
          <w:lang w:val="es-ES"/>
        </w:rPr>
        <w:t>Solo una vez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, y absteniéndose  de pedir información en físico que  otra instancia pública ya tiene disponible para consulta en sus bases de datos.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 xml:space="preserve">Realizaremos este esfuerzo 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de manera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 xml:space="preserve">colaborativa 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con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 xml:space="preserve">todas aquellas instancias estatales 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que hoy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piden el acta de nacimiento o CURP como requisito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para acceder a un servicio, contando con el apoyo de la Estrategia Digital Nacional de la Presidencia de la República, la Secretaría de Gobernación a través del RENAPO, y la Secretaria de la Función Pública a través de  la Unidad de Gobierno Digital. </w:t>
      </w:r>
    </w:p>
    <w:p w14:paraId="4ED26542" w14:textId="77777777" w:rsidR="00F709C7" w:rsidRPr="006F042C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</w:p>
    <w:p w14:paraId="7883733C" w14:textId="77777777" w:rsidR="00F709C7" w:rsidRPr="006F042C" w:rsidRDefault="00F647F2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 xml:space="preserve">Pronunciamiento 2: 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Así mismo, dando continuidad a la colaboración con el gobierno federal en la instrumentación de la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Estrategia Digital Nacional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, reconocemos los avances alcanzados en la integración del primer documento de la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Estrategia Nacional de Ciberseguridad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>, un proceso colaborativo sin presente con la participación de la sociedad civil organizada, academia, industria,  población en general y entidades públicas. Nos sumamos a la importante tarea de seguir participando colaborativamente desde el ámbito local en la instrumentación de la misma. Compartiendo los principios de perspectiva de derechos humanos, enfoque basado en gestión de riesgos y en la colaboración multidisciplinaria y de múltiples actores.</w:t>
      </w:r>
    </w:p>
    <w:p w14:paraId="65E8B1F7" w14:textId="77777777" w:rsidR="00F709C7" w:rsidRPr="006F042C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</w:p>
    <w:p w14:paraId="2B004399" w14:textId="77777777" w:rsidR="00F709C7" w:rsidRPr="006F042C" w:rsidRDefault="00F647F2">
      <w:pPr>
        <w:pStyle w:val="Normal1"/>
        <w:numPr>
          <w:ilvl w:val="0"/>
          <w:numId w:val="2"/>
        </w:numPr>
        <w:contextualSpacing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Los ejes de acción de la estrategia son los siguientes: </w:t>
      </w:r>
    </w:p>
    <w:p w14:paraId="442E0984" w14:textId="77777777" w:rsidR="00F709C7" w:rsidRDefault="00F647F2">
      <w:pPr>
        <w:pStyle w:val="Normal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4"/>
          <w:szCs w:val="24"/>
          <w:lang w:val="es-MX" w:eastAsia="es-MX"/>
        </w:rPr>
        <w:drawing>
          <wp:inline distT="114300" distB="114300" distL="114300" distR="114300" wp14:anchorId="4CB1A9CD" wp14:editId="56CC0CBD">
            <wp:extent cx="3090863" cy="276436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30929" t="17902" r="23557" b="17135"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276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FEAFD" w14:textId="77777777" w:rsidR="00F709C7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</w:rPr>
      </w:pPr>
    </w:p>
    <w:p w14:paraId="0A56C42E" w14:textId="77777777" w:rsidR="00F709C7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</w:rPr>
      </w:pPr>
    </w:p>
    <w:p w14:paraId="3DB0CB23" w14:textId="77777777" w:rsidR="00F709C7" w:rsidRDefault="00F647F2">
      <w:pPr>
        <w:pStyle w:val="Normal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. </w:t>
      </w:r>
    </w:p>
    <w:p w14:paraId="426DE0EC" w14:textId="77777777" w:rsidR="00F709C7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</w:rPr>
      </w:pPr>
    </w:p>
    <w:p w14:paraId="0C5A8418" w14:textId="77777777" w:rsidR="00F709C7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</w:rPr>
      </w:pPr>
    </w:p>
    <w:p w14:paraId="078A55B4" w14:textId="77777777" w:rsidR="00F709C7" w:rsidRDefault="00F647F2">
      <w:pPr>
        <w:pStyle w:val="Normal1"/>
        <w:jc w:val="both"/>
        <w:rPr>
          <w:rFonts w:ascii="Open Sans" w:eastAsia="Open Sans" w:hAnsi="Open Sans" w:cs="Open Sans"/>
          <w:b/>
          <w:sz w:val="20"/>
          <w:szCs w:val="20"/>
        </w:rPr>
      </w:pP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Antecedentes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 VUN: </w:t>
      </w:r>
    </w:p>
    <w:p w14:paraId="61068AB8" w14:textId="77777777" w:rsidR="00F709C7" w:rsidRDefault="00F647F2">
      <w:pPr>
        <w:pStyle w:val="Normal1"/>
        <w:jc w:val="both"/>
        <w:rPr>
          <w:rFonts w:ascii="Open Sans" w:eastAsia="Open Sans" w:hAnsi="Open Sans" w:cs="Open Sans"/>
          <w:sz w:val="20"/>
          <w:szCs w:val="20"/>
          <w:u w:val="single"/>
        </w:rPr>
      </w:pPr>
      <w:proofErr w:type="spellStart"/>
      <w:r>
        <w:rPr>
          <w:rFonts w:ascii="Open Sans" w:eastAsia="Open Sans" w:hAnsi="Open Sans" w:cs="Open Sans"/>
          <w:sz w:val="20"/>
          <w:szCs w:val="20"/>
          <w:u w:val="single"/>
        </w:rPr>
        <w:t>Ventanilla</w:t>
      </w:r>
      <w:proofErr w:type="spellEnd"/>
      <w:r>
        <w:rPr>
          <w:rFonts w:ascii="Open Sans" w:eastAsia="Open Sans" w:hAnsi="Open Sans" w:cs="Open Sans"/>
          <w:sz w:val="20"/>
          <w:szCs w:val="20"/>
          <w:u w:val="single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  <w:u w:val="single"/>
        </w:rPr>
        <w:t>Única</w:t>
      </w:r>
      <w:proofErr w:type="spellEnd"/>
      <w:r>
        <w:rPr>
          <w:rFonts w:ascii="Open Sans" w:eastAsia="Open Sans" w:hAnsi="Open Sans" w:cs="Open Sans"/>
          <w:sz w:val="20"/>
          <w:szCs w:val="20"/>
          <w:u w:val="single"/>
        </w:rPr>
        <w:t xml:space="preserve"> Nacional</w:t>
      </w:r>
    </w:p>
    <w:p w14:paraId="530494C0" w14:textId="77777777" w:rsidR="00F709C7" w:rsidRPr="006F042C" w:rsidRDefault="00F647F2">
      <w:pPr>
        <w:pStyle w:val="Normal1"/>
        <w:numPr>
          <w:ilvl w:val="0"/>
          <w:numId w:val="3"/>
        </w:numPr>
        <w:contextualSpacing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El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03 de mayo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se llevó a cabo la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LII  Reunión Ordinaria de la CONAGO, en  Jojutla, Morelos</w:t>
      </w: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, donde se llevó a cabo la firma de los convenios de colaboración para la instrumentación de la Ventanilla Única Nacional. </w:t>
      </w:r>
    </w:p>
    <w:p w14:paraId="71CB76C5" w14:textId="77777777" w:rsidR="00F709C7" w:rsidRPr="006F042C" w:rsidRDefault="00F647F2">
      <w:pPr>
        <w:pStyle w:val="Normal1"/>
        <w:numPr>
          <w:ilvl w:val="0"/>
          <w:numId w:val="3"/>
        </w:numPr>
        <w:contextualSpacing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La Ventanilla Única Nacional -  </w:t>
      </w:r>
      <w:hyperlink r:id="rId8">
        <w:r w:rsidRPr="006F042C">
          <w:rPr>
            <w:rFonts w:ascii="Open Sans" w:eastAsia="Open Sans" w:hAnsi="Open Sans" w:cs="Open Sans"/>
            <w:color w:val="1155CC"/>
            <w:sz w:val="20"/>
            <w:szCs w:val="20"/>
            <w:u w:val="single"/>
            <w:lang w:val="es-ES"/>
          </w:rPr>
          <w:t>www.gob.mx</w:t>
        </w:r>
      </w:hyperlink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 es la plataforma que promueve la innovación en el gobierno, impulsa la eficiencia, y transforma los procesos para proveer de información, trámites y una plataforma de participación a la población</w:t>
      </w:r>
    </w:p>
    <w:p w14:paraId="2598486C" w14:textId="77777777" w:rsidR="00F709C7" w:rsidRPr="006F042C" w:rsidRDefault="00F647F2">
      <w:pPr>
        <w:pStyle w:val="Normal1"/>
        <w:numPr>
          <w:ilvl w:val="0"/>
          <w:numId w:val="3"/>
        </w:numPr>
        <w:contextualSpacing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sz w:val="20"/>
          <w:szCs w:val="20"/>
          <w:lang w:val="es-ES"/>
        </w:rPr>
        <w:t>En el Decreto por el que se crea la Ventanilla Única Nacional en el artículo 12° prevé la firma de convenios de colaboración con entidades y municipios</w:t>
      </w:r>
    </w:p>
    <w:p w14:paraId="5E1F1D97" w14:textId="77777777" w:rsidR="00F709C7" w:rsidRPr="006F042C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</w:p>
    <w:p w14:paraId="6ABF1932" w14:textId="77777777" w:rsidR="00F709C7" w:rsidRPr="006F042C" w:rsidRDefault="00F647F2">
      <w:pPr>
        <w:pStyle w:val="Normal1"/>
        <w:jc w:val="both"/>
        <w:rPr>
          <w:rFonts w:ascii="Open Sans" w:eastAsia="Open Sans" w:hAnsi="Open Sans" w:cs="Open Sans"/>
          <w:b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>Compromisos que establecen los convenio de colaboración:</w:t>
      </w:r>
    </w:p>
    <w:p w14:paraId="40369038" w14:textId="77777777" w:rsidR="00F709C7" w:rsidRDefault="00F647F2">
      <w:pPr>
        <w:pStyle w:val="Normal1"/>
        <w:jc w:val="both"/>
        <w:rPr>
          <w:rFonts w:ascii="Open Sans" w:eastAsia="Open Sans" w:hAnsi="Open Sans" w:cs="Open Sans"/>
          <w:sz w:val="20"/>
          <w:szCs w:val="20"/>
          <w:u w:val="single"/>
        </w:rPr>
      </w:pPr>
      <w:proofErr w:type="spellStart"/>
      <w:r>
        <w:rPr>
          <w:rFonts w:ascii="Open Sans" w:eastAsia="Open Sans" w:hAnsi="Open Sans" w:cs="Open Sans"/>
          <w:sz w:val="20"/>
          <w:szCs w:val="20"/>
          <w:u w:val="single"/>
        </w:rPr>
        <w:t>Ventanilla</w:t>
      </w:r>
      <w:proofErr w:type="spellEnd"/>
      <w:r>
        <w:rPr>
          <w:rFonts w:ascii="Open Sans" w:eastAsia="Open Sans" w:hAnsi="Open Sans" w:cs="Open Sans"/>
          <w:sz w:val="20"/>
          <w:szCs w:val="20"/>
          <w:u w:val="single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  <w:u w:val="single"/>
        </w:rPr>
        <w:t>Única</w:t>
      </w:r>
      <w:proofErr w:type="spellEnd"/>
      <w:r>
        <w:rPr>
          <w:rFonts w:ascii="Open Sans" w:eastAsia="Open Sans" w:hAnsi="Open Sans" w:cs="Open Sans"/>
          <w:sz w:val="20"/>
          <w:szCs w:val="20"/>
          <w:u w:val="single"/>
        </w:rPr>
        <w:t xml:space="preserve"> Nacional</w:t>
      </w:r>
    </w:p>
    <w:p w14:paraId="08479441" w14:textId="77777777" w:rsidR="00F709C7" w:rsidRPr="006F042C" w:rsidRDefault="00F647F2">
      <w:pPr>
        <w:pStyle w:val="Normal1"/>
        <w:numPr>
          <w:ilvl w:val="0"/>
          <w:numId w:val="1"/>
        </w:numPr>
        <w:contextualSpacing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sz w:val="20"/>
          <w:szCs w:val="20"/>
          <w:lang w:val="es-ES"/>
        </w:rPr>
        <w:t>Adoptar las disposiciones que establece el Decreto por el cual se establece la Ventanilla Única Nacional para los Trámites en Información del Gobierno</w:t>
      </w:r>
    </w:p>
    <w:p w14:paraId="3D0F4845" w14:textId="77777777" w:rsidR="00F709C7" w:rsidRPr="006F042C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</w:p>
    <w:p w14:paraId="0E5463EC" w14:textId="77777777" w:rsidR="00F709C7" w:rsidRDefault="00F647F2">
      <w:pPr>
        <w:pStyle w:val="Normal1"/>
        <w:numPr>
          <w:ilvl w:val="0"/>
          <w:numId w:val="1"/>
        </w:numPr>
        <w:contextualSpacing/>
        <w:jc w:val="both"/>
        <w:rPr>
          <w:rFonts w:ascii="Open Sans" w:eastAsia="Open Sans" w:hAnsi="Open Sans" w:cs="Open Sans"/>
          <w:i/>
          <w:sz w:val="16"/>
          <w:szCs w:val="16"/>
        </w:rPr>
      </w:pPr>
      <w:r>
        <w:rPr>
          <w:rFonts w:ascii="Open Sans" w:eastAsia="Open Sans" w:hAnsi="Open Sans" w:cs="Open Sans"/>
          <w:i/>
          <w:sz w:val="16"/>
          <w:szCs w:val="16"/>
        </w:rPr>
        <w:t xml:space="preserve">ARTÍCULO DÉCIMO PRIMERO.- Las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dependencias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entidades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y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empresas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productivas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del Estado,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los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casos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 que el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trámite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se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encuentre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totalmente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digitalizado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y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exista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interoperabilidad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entre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los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sistemas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trámites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electrónicos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, </w:t>
      </w:r>
      <w:r>
        <w:rPr>
          <w:rFonts w:ascii="Open Sans" w:eastAsia="Open Sans" w:hAnsi="Open Sans" w:cs="Open Sans"/>
          <w:b/>
          <w:i/>
          <w:sz w:val="16"/>
          <w:szCs w:val="16"/>
        </w:rPr>
        <w:t xml:space="preserve">se </w:t>
      </w:r>
      <w:proofErr w:type="spellStart"/>
      <w:r>
        <w:rPr>
          <w:rFonts w:ascii="Open Sans" w:eastAsia="Open Sans" w:hAnsi="Open Sans" w:cs="Open Sans"/>
          <w:b/>
          <w:i/>
          <w:sz w:val="16"/>
          <w:szCs w:val="16"/>
        </w:rPr>
        <w:t>abstendrán</w:t>
      </w:r>
      <w:proofErr w:type="spellEnd"/>
      <w:r>
        <w:rPr>
          <w:rFonts w:ascii="Open Sans" w:eastAsia="Open Sans" w:hAnsi="Open Sans" w:cs="Open Sans"/>
          <w:b/>
          <w:i/>
          <w:sz w:val="16"/>
          <w:szCs w:val="16"/>
        </w:rPr>
        <w:t xml:space="preserve"> de </w:t>
      </w:r>
      <w:proofErr w:type="spellStart"/>
      <w:r>
        <w:rPr>
          <w:rFonts w:ascii="Open Sans" w:eastAsia="Open Sans" w:hAnsi="Open Sans" w:cs="Open Sans"/>
          <w:b/>
          <w:i/>
          <w:sz w:val="16"/>
          <w:szCs w:val="16"/>
        </w:rPr>
        <w:t>pedir</w:t>
      </w:r>
      <w:proofErr w:type="spellEnd"/>
      <w:r>
        <w:rPr>
          <w:rFonts w:ascii="Open Sans" w:eastAsia="Open Sans" w:hAnsi="Open Sans" w:cs="Open Sans"/>
          <w:b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b/>
          <w:i/>
          <w:sz w:val="16"/>
          <w:szCs w:val="16"/>
        </w:rPr>
        <w:t>información</w:t>
      </w:r>
      <w:proofErr w:type="spellEnd"/>
      <w:r>
        <w:rPr>
          <w:rFonts w:ascii="Open Sans" w:eastAsia="Open Sans" w:hAnsi="Open Sans" w:cs="Open Sans"/>
          <w:b/>
          <w:i/>
          <w:sz w:val="16"/>
          <w:szCs w:val="16"/>
        </w:rPr>
        <w:t xml:space="preserve"> o </w:t>
      </w:r>
      <w:proofErr w:type="spellStart"/>
      <w:r>
        <w:rPr>
          <w:rFonts w:ascii="Open Sans" w:eastAsia="Open Sans" w:hAnsi="Open Sans" w:cs="Open Sans"/>
          <w:b/>
          <w:i/>
          <w:sz w:val="16"/>
          <w:szCs w:val="16"/>
        </w:rPr>
        <w:t>documentación</w:t>
      </w:r>
      <w:proofErr w:type="spellEnd"/>
      <w:r>
        <w:rPr>
          <w:rFonts w:ascii="Open Sans" w:eastAsia="Open Sans" w:hAnsi="Open Sans" w:cs="Open Sans"/>
          <w:b/>
          <w:i/>
          <w:sz w:val="16"/>
          <w:szCs w:val="16"/>
        </w:rPr>
        <w:t xml:space="preserve"> a </w:t>
      </w:r>
      <w:proofErr w:type="spellStart"/>
      <w:r>
        <w:rPr>
          <w:rFonts w:ascii="Open Sans" w:eastAsia="Open Sans" w:hAnsi="Open Sans" w:cs="Open Sans"/>
          <w:b/>
          <w:i/>
          <w:sz w:val="16"/>
          <w:szCs w:val="16"/>
        </w:rPr>
        <w:t>los</w:t>
      </w:r>
      <w:proofErr w:type="spellEnd"/>
      <w:r>
        <w:rPr>
          <w:rFonts w:ascii="Open Sans" w:eastAsia="Open Sans" w:hAnsi="Open Sans" w:cs="Open Sans"/>
          <w:b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b/>
          <w:i/>
          <w:sz w:val="16"/>
          <w:szCs w:val="16"/>
        </w:rPr>
        <w:t>interesados</w:t>
      </w:r>
      <w:proofErr w:type="spellEnd"/>
      <w:r>
        <w:rPr>
          <w:rFonts w:ascii="Open Sans" w:eastAsia="Open Sans" w:hAnsi="Open Sans" w:cs="Open Sans"/>
          <w:b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b/>
          <w:i/>
          <w:sz w:val="16"/>
          <w:szCs w:val="16"/>
        </w:rPr>
        <w:t>cuando</w:t>
      </w:r>
      <w:proofErr w:type="spellEnd"/>
      <w:r>
        <w:rPr>
          <w:rFonts w:ascii="Open Sans" w:eastAsia="Open Sans" w:hAnsi="Open Sans" w:cs="Open Sans"/>
          <w:b/>
          <w:i/>
          <w:sz w:val="16"/>
          <w:szCs w:val="16"/>
        </w:rPr>
        <w:t>:</w:t>
      </w:r>
      <w:r>
        <w:rPr>
          <w:rFonts w:ascii="Open Sans" w:eastAsia="Open Sans" w:hAnsi="Open Sans" w:cs="Open Sans"/>
          <w:b/>
          <w:i/>
          <w:sz w:val="16"/>
          <w:szCs w:val="16"/>
        </w:rPr>
        <w:br/>
      </w:r>
      <w:r>
        <w:rPr>
          <w:rFonts w:ascii="Open Sans" w:eastAsia="Open Sans" w:hAnsi="Open Sans" w:cs="Open Sans"/>
          <w:i/>
          <w:sz w:val="16"/>
          <w:szCs w:val="16"/>
        </w:rPr>
        <w:t xml:space="preserve">I.     </w:t>
      </w:r>
      <w:r w:rsidRPr="006F042C">
        <w:rPr>
          <w:rFonts w:ascii="Open Sans" w:eastAsia="Open Sans" w:hAnsi="Open Sans" w:cs="Open Sans"/>
          <w:i/>
          <w:sz w:val="16"/>
          <w:szCs w:val="16"/>
          <w:lang w:val="es-ES"/>
        </w:rPr>
        <w:t>Se encuentre en bases de datos de otras dependencias, entidades y empresas productivas del Estado, que por razón de sus atribuciones sean las competentes para generar o administrar dicha información o documentación, y</w:t>
      </w:r>
      <w:r w:rsidRPr="006F042C">
        <w:rPr>
          <w:rFonts w:ascii="Open Sans" w:eastAsia="Open Sans" w:hAnsi="Open Sans" w:cs="Open Sans"/>
          <w:i/>
          <w:sz w:val="16"/>
          <w:szCs w:val="16"/>
          <w:lang w:val="es-ES"/>
        </w:rPr>
        <w:br/>
        <w:t>II.     Cuando pueda ser obtenida mediante consulta a los sistemas de trámites electrónicos.</w:t>
      </w:r>
      <w:r w:rsidRPr="006F042C">
        <w:rPr>
          <w:rFonts w:ascii="Open Sans" w:eastAsia="Open Sans" w:hAnsi="Open Sans" w:cs="Open Sans"/>
          <w:i/>
          <w:sz w:val="16"/>
          <w:szCs w:val="16"/>
          <w:lang w:val="es-ES"/>
        </w:rPr>
        <w:br/>
      </w:r>
      <w:r>
        <w:rPr>
          <w:rFonts w:ascii="Open Sans" w:eastAsia="Open Sans" w:hAnsi="Open Sans" w:cs="Open Sans"/>
          <w:i/>
          <w:sz w:val="16"/>
          <w:szCs w:val="16"/>
        </w:rPr>
        <w:t xml:space="preserve">Las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dependencias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entidades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y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empresas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productivas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del Estado,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harán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pública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a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través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 la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Ventanilla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Única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Nacional la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información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que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ya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no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obligatoria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presentar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cada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trámite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>.</w:t>
      </w:r>
      <w:r>
        <w:rPr>
          <w:rFonts w:ascii="Open Sans" w:eastAsia="Open Sans" w:hAnsi="Open Sans" w:cs="Open Sans"/>
          <w:i/>
          <w:sz w:val="16"/>
          <w:szCs w:val="16"/>
        </w:rPr>
        <w:br/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Todas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las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dependencias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entidades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y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empresas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productivas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del Estado,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serán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responsables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resguardar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la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información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que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integren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respecto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los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trámites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que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proporcionen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a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través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 la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Ventanilla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Única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Nacional,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términos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 las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disposiciones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jurídicas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aplicables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>.</w:t>
      </w:r>
      <w:r>
        <w:rPr>
          <w:rFonts w:ascii="Open Sans" w:eastAsia="Open Sans" w:hAnsi="Open Sans" w:cs="Open Sans"/>
          <w:i/>
          <w:sz w:val="16"/>
          <w:szCs w:val="16"/>
        </w:rPr>
        <w:br/>
        <w:t xml:space="preserve"> </w:t>
      </w:r>
      <w:r>
        <w:rPr>
          <w:rFonts w:ascii="Open Sans" w:eastAsia="Open Sans" w:hAnsi="Open Sans" w:cs="Open Sans"/>
          <w:i/>
          <w:sz w:val="16"/>
          <w:szCs w:val="16"/>
        </w:rPr>
        <w:br/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Cuando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técnicamente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no sea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posible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obtener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información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o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documentación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 las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dependencias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entidades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y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empresas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productivas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del Estado,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encargadas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generarla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o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administrarla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,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excepcionalmente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y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por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única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vez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, se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solicitará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a las personas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proporcionen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la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información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o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documentación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para el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desahogo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del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trámite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6"/>
          <w:szCs w:val="16"/>
        </w:rPr>
        <w:t>correspondiente</w:t>
      </w:r>
      <w:proofErr w:type="spellEnd"/>
      <w:r>
        <w:rPr>
          <w:rFonts w:ascii="Open Sans" w:eastAsia="Open Sans" w:hAnsi="Open Sans" w:cs="Open Sans"/>
          <w:i/>
          <w:sz w:val="16"/>
          <w:szCs w:val="16"/>
        </w:rPr>
        <w:t>.</w:t>
      </w:r>
    </w:p>
    <w:p w14:paraId="568A1AF1" w14:textId="77777777" w:rsidR="00F709C7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</w:rPr>
      </w:pPr>
    </w:p>
    <w:p w14:paraId="0B3870F6" w14:textId="77777777" w:rsidR="00F709C7" w:rsidRPr="006F042C" w:rsidRDefault="00F647F2">
      <w:pPr>
        <w:pStyle w:val="Normal1"/>
        <w:numPr>
          <w:ilvl w:val="0"/>
          <w:numId w:val="1"/>
        </w:numPr>
        <w:contextualSpacing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En ese sentido lo más relevante de brindar el servicio de Acta de Nacimiento por Internet es </w:t>
      </w:r>
      <w:r w:rsidRPr="006F042C">
        <w:rPr>
          <w:rFonts w:ascii="Open Sans" w:eastAsia="Open Sans" w:hAnsi="Open Sans" w:cs="Open Sans"/>
          <w:b/>
          <w:sz w:val="20"/>
          <w:szCs w:val="20"/>
          <w:lang w:val="es-ES"/>
        </w:rPr>
        <w:t xml:space="preserve">justamente que no se pida su presentación en físico ya que las dependencias y entidades estatales que hoy solicitan pueden hacer la consulta a la base de RENAPO. </w:t>
      </w:r>
    </w:p>
    <w:p w14:paraId="0F5245F1" w14:textId="77777777" w:rsidR="00F709C7" w:rsidRPr="006F042C" w:rsidRDefault="00F709C7">
      <w:pPr>
        <w:pStyle w:val="Normal1"/>
        <w:jc w:val="both"/>
        <w:rPr>
          <w:rFonts w:ascii="Open Sans" w:eastAsia="Open Sans" w:hAnsi="Open Sans" w:cs="Open Sans"/>
          <w:b/>
          <w:sz w:val="20"/>
          <w:szCs w:val="20"/>
          <w:lang w:val="es-ES"/>
        </w:rPr>
      </w:pPr>
    </w:p>
    <w:p w14:paraId="6251E758" w14:textId="77777777" w:rsidR="00F709C7" w:rsidRDefault="00F647F2">
      <w:pPr>
        <w:pStyle w:val="Normal1"/>
        <w:numPr>
          <w:ilvl w:val="0"/>
          <w:numId w:val="1"/>
        </w:numPr>
        <w:contextualSpacing/>
        <w:jc w:val="both"/>
        <w:rPr>
          <w:rFonts w:ascii="Open Sans" w:eastAsia="Open Sans" w:hAnsi="Open Sans" w:cs="Open Sans"/>
          <w:b/>
          <w:sz w:val="20"/>
          <w:szCs w:val="20"/>
        </w:rPr>
      </w:pP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Beneficios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7B250F08" w14:textId="77777777" w:rsidR="00F709C7" w:rsidRPr="006F042C" w:rsidRDefault="00F647F2">
      <w:pPr>
        <w:pStyle w:val="Normal1"/>
        <w:ind w:left="720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  <w:r w:rsidRPr="006F042C">
        <w:rPr>
          <w:rFonts w:ascii="Open Sans" w:eastAsia="Open Sans" w:hAnsi="Open Sans" w:cs="Open Sans"/>
          <w:sz w:val="20"/>
          <w:szCs w:val="20"/>
          <w:lang w:val="es-ES"/>
        </w:rPr>
        <w:t xml:space="preserve">Impacto directo en el ingreso real del primer decil de población de hasta 1.48%, considerando que el ingreso anual es de $33,105.00 de los cuales una tercera proviene del programa prospera, el ingreso real es de $22,305.00, mensual real es $1,858.00, si consideramos que en más de 600 servicios el acta de pide como requisito, la impresión de hasta 3 actas por año afecta directamente el ingreso real de las personas más vulnerables de la población. </w:t>
      </w:r>
    </w:p>
    <w:p w14:paraId="57BE8D9B" w14:textId="77777777" w:rsidR="00F709C7" w:rsidRPr="006F042C" w:rsidRDefault="00F709C7">
      <w:pPr>
        <w:pStyle w:val="Normal1"/>
        <w:jc w:val="both"/>
        <w:rPr>
          <w:rFonts w:ascii="Open Sans" w:eastAsia="Open Sans" w:hAnsi="Open Sans" w:cs="Open Sans"/>
          <w:sz w:val="20"/>
          <w:szCs w:val="20"/>
          <w:lang w:val="es-ES"/>
        </w:rPr>
      </w:pPr>
    </w:p>
    <w:p w14:paraId="444B5C22" w14:textId="77777777" w:rsidR="00F709C7" w:rsidRPr="006F042C" w:rsidRDefault="00F709C7">
      <w:pPr>
        <w:pStyle w:val="Normal1"/>
        <w:jc w:val="center"/>
        <w:rPr>
          <w:rFonts w:ascii="Open Sans" w:eastAsia="Open Sans" w:hAnsi="Open Sans" w:cs="Open Sans"/>
          <w:sz w:val="20"/>
          <w:szCs w:val="20"/>
          <w:lang w:val="es-ES"/>
        </w:rPr>
      </w:pPr>
    </w:p>
    <w:p w14:paraId="1A1A629D" w14:textId="77777777" w:rsidR="00F709C7" w:rsidRPr="006F042C" w:rsidRDefault="00F709C7">
      <w:pPr>
        <w:pStyle w:val="Normal1"/>
        <w:rPr>
          <w:rFonts w:ascii="Open Sans" w:eastAsia="Open Sans" w:hAnsi="Open Sans" w:cs="Open Sans"/>
          <w:b/>
          <w:sz w:val="20"/>
          <w:szCs w:val="20"/>
          <w:lang w:val="es-ES"/>
        </w:rPr>
      </w:pPr>
    </w:p>
    <w:p w14:paraId="0145E7D9" w14:textId="77777777" w:rsidR="00F709C7" w:rsidRPr="006F042C" w:rsidRDefault="00F709C7">
      <w:pPr>
        <w:pStyle w:val="Normal1"/>
        <w:rPr>
          <w:rFonts w:ascii="Open Sans" w:eastAsia="Open Sans" w:hAnsi="Open Sans" w:cs="Open Sans"/>
          <w:sz w:val="20"/>
          <w:szCs w:val="20"/>
          <w:lang w:val="es-ES"/>
        </w:rPr>
      </w:pPr>
    </w:p>
    <w:p w14:paraId="7205343B" w14:textId="77777777" w:rsidR="00F709C7" w:rsidRPr="006F042C" w:rsidRDefault="00F709C7">
      <w:pPr>
        <w:pStyle w:val="Normal1"/>
        <w:rPr>
          <w:rFonts w:ascii="Open Sans" w:eastAsia="Open Sans" w:hAnsi="Open Sans" w:cs="Open Sans"/>
          <w:sz w:val="20"/>
          <w:szCs w:val="20"/>
          <w:lang w:val="es-ES"/>
        </w:rPr>
      </w:pPr>
      <w:bookmarkStart w:id="0" w:name="_GoBack"/>
      <w:bookmarkEnd w:id="0"/>
    </w:p>
    <w:sectPr w:rsidR="00F709C7" w:rsidRPr="006F042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CD95" w14:textId="77777777" w:rsidR="000C5145" w:rsidRDefault="000C5145">
      <w:pPr>
        <w:spacing w:line="240" w:lineRule="auto"/>
      </w:pPr>
      <w:r>
        <w:separator/>
      </w:r>
    </w:p>
  </w:endnote>
  <w:endnote w:type="continuationSeparator" w:id="0">
    <w:p w14:paraId="2F74056D" w14:textId="77777777" w:rsidR="000C5145" w:rsidRDefault="000C5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default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4A2B" w14:textId="68FABCB1" w:rsidR="00F709C7" w:rsidRDefault="00F647F2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7245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F7E5" w14:textId="442FB1C0" w:rsidR="00F709C7" w:rsidRDefault="00F647F2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7245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D027" w14:textId="77777777" w:rsidR="000C5145" w:rsidRDefault="000C5145">
      <w:pPr>
        <w:spacing w:line="240" w:lineRule="auto"/>
      </w:pPr>
      <w:r>
        <w:separator/>
      </w:r>
    </w:p>
  </w:footnote>
  <w:footnote w:type="continuationSeparator" w:id="0">
    <w:p w14:paraId="663B5EEB" w14:textId="77777777" w:rsidR="000C5145" w:rsidRDefault="000C5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C6DD" w14:textId="77777777" w:rsidR="00F709C7" w:rsidRDefault="00F709C7">
    <w:pPr>
      <w:pStyle w:val="Normal1"/>
    </w:pPr>
  </w:p>
  <w:p w14:paraId="2FF9C754" w14:textId="77777777" w:rsidR="00F709C7" w:rsidRDefault="00F709C7">
    <w:pPr>
      <w:pStyle w:val="Normal1"/>
    </w:pPr>
  </w:p>
  <w:p w14:paraId="1C60C074" w14:textId="77777777" w:rsidR="00F709C7" w:rsidRDefault="00F709C7">
    <w:pPr>
      <w:pStyle w:val="Normal1"/>
    </w:pPr>
  </w:p>
  <w:p w14:paraId="46C3DAF0" w14:textId="77777777" w:rsidR="00F709C7" w:rsidRDefault="00F709C7">
    <w:pPr>
      <w:pStyle w:val="Normal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01E3" w14:textId="77777777" w:rsidR="00F709C7" w:rsidRDefault="00F647F2">
    <w:pPr>
      <w:pStyle w:val="Normal1"/>
      <w:tabs>
        <w:tab w:val="center" w:pos="4320"/>
        <w:tab w:val="right" w:pos="8640"/>
      </w:tabs>
      <w:spacing w:line="240" w:lineRule="auto"/>
      <w:jc w:val="both"/>
      <w:rPr>
        <w:sz w:val="18"/>
        <w:szCs w:val="18"/>
      </w:rPr>
    </w:pPr>
    <w:r>
      <w:rPr>
        <w:noProof/>
        <w:lang w:val="es-MX" w:eastAsia="es-MX"/>
      </w:rPr>
      <w:drawing>
        <wp:anchor distT="0" distB="0" distL="0" distR="0" simplePos="0" relativeHeight="251657216" behindDoc="0" locked="0" layoutInCell="1" hidden="0" allowOverlap="1" wp14:anchorId="716331B8" wp14:editId="0791CCAF">
          <wp:simplePos x="0" y="0"/>
          <wp:positionH relativeFrom="margin">
            <wp:posOffset>-123190</wp:posOffset>
          </wp:positionH>
          <wp:positionV relativeFrom="paragraph">
            <wp:posOffset>171450</wp:posOffset>
          </wp:positionV>
          <wp:extent cx="2701575" cy="926254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1575" cy="926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hidden="0" allowOverlap="1" wp14:anchorId="4C008852" wp14:editId="4B7A900C">
              <wp:simplePos x="0" y="0"/>
              <wp:positionH relativeFrom="margin">
                <wp:posOffset>2633663</wp:posOffset>
              </wp:positionH>
              <wp:positionV relativeFrom="paragraph">
                <wp:posOffset>9525</wp:posOffset>
              </wp:positionV>
              <wp:extent cx="3195638" cy="628650"/>
              <wp:effectExtent l="0" t="0" r="0" b="0"/>
              <wp:wrapSquare wrapText="bothSides" distT="0" distB="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43651" y="3469801"/>
                        <a:ext cx="3404698" cy="6203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F50988" w14:textId="77777777" w:rsidR="00F709C7" w:rsidRPr="006F042C" w:rsidRDefault="00F647F2">
                          <w:pPr>
                            <w:pStyle w:val="Normal1"/>
                            <w:spacing w:before="240" w:after="60" w:line="240" w:lineRule="auto"/>
                            <w:jc w:val="right"/>
                            <w:textDirection w:val="btLr"/>
                            <w:rPr>
                              <w:lang w:val="es-ES"/>
                            </w:rPr>
                          </w:pPr>
                          <w:r w:rsidRPr="006F042C">
                            <w:rPr>
                              <w:rFonts w:ascii="Soberana Sans" w:eastAsia="Soberana Sans" w:hAnsi="Soberana Sans" w:cs="Soberana Sans"/>
                              <w:b/>
                              <w:sz w:val="18"/>
                              <w:lang w:val="es-ES"/>
                            </w:rPr>
                            <w:t>SUBSECRETARÍA DE LA FUNCIÓN PÚBLICA</w:t>
                          </w:r>
                        </w:p>
                        <w:p w14:paraId="4E7B72D5" w14:textId="77777777" w:rsidR="00F709C7" w:rsidRPr="006F042C" w:rsidRDefault="00F647F2">
                          <w:pPr>
                            <w:pStyle w:val="Normal1"/>
                            <w:spacing w:line="180" w:lineRule="auto"/>
                            <w:jc w:val="right"/>
                            <w:textDirection w:val="btLr"/>
                            <w:rPr>
                              <w:lang w:val="es-ES"/>
                            </w:rPr>
                          </w:pPr>
                          <w:r w:rsidRPr="006F042C">
                            <w:rPr>
                              <w:rFonts w:ascii="Soberana Sans" w:eastAsia="Soberana Sans" w:hAnsi="Soberana Sans" w:cs="Soberana Sans"/>
                              <w:b/>
                              <w:sz w:val="16"/>
                              <w:lang w:val="es-ES"/>
                            </w:rPr>
                            <w:t>Unidad de Gobierno Digital</w:t>
                          </w:r>
                        </w:p>
                        <w:p w14:paraId="70F139B5" w14:textId="77777777" w:rsidR="00F709C7" w:rsidRPr="006F042C" w:rsidRDefault="00F709C7">
                          <w:pPr>
                            <w:pStyle w:val="Normal1"/>
                            <w:spacing w:line="180" w:lineRule="auto"/>
                            <w:jc w:val="right"/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C008852" id="Rectángulo 3" o:spid="_x0000_s1026" style="position:absolute;left:0;text-align:left;margin-left:207.4pt;margin-top:.75pt;width:251.65pt;height:49.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" stroked="f">
              <v:textbox inset="2.53958mm,1.2694mm,2.53958mm,1.2694mm">
                <w:txbxContent>
                  <w:p w14:paraId="37F50988" w14:textId="77777777" w:rsidR="00F709C7" w:rsidRPr="006F042C" w:rsidRDefault="00F647F2">
                    <w:pPr>
                      <w:pStyle w:val="Normal1"/>
                      <w:spacing w:before="240" w:after="60" w:line="240" w:lineRule="auto"/>
                      <w:jc w:val="right"/>
                      <w:textDirection w:val="btLr"/>
                      <w:rPr>
                        <w:lang w:val="es-ES"/>
                      </w:rPr>
                    </w:pPr>
                    <w:r w:rsidRPr="006F042C">
                      <w:rPr>
                        <w:rFonts w:ascii="Soberana Sans" w:eastAsia="Soberana Sans" w:hAnsi="Soberana Sans" w:cs="Soberana Sans"/>
                        <w:b/>
                        <w:sz w:val="18"/>
                        <w:lang w:val="es-ES"/>
                      </w:rPr>
                      <w:t>SUBSECRETARÍA DE LA FUNCIÓN PÚBLICA</w:t>
                    </w:r>
                  </w:p>
                  <w:p w14:paraId="4E7B72D5" w14:textId="77777777" w:rsidR="00F709C7" w:rsidRPr="006F042C" w:rsidRDefault="00F647F2">
                    <w:pPr>
                      <w:pStyle w:val="Normal1"/>
                      <w:spacing w:line="180" w:lineRule="auto"/>
                      <w:jc w:val="right"/>
                      <w:textDirection w:val="btLr"/>
                      <w:rPr>
                        <w:lang w:val="es-ES"/>
                      </w:rPr>
                    </w:pPr>
                    <w:r w:rsidRPr="006F042C">
                      <w:rPr>
                        <w:rFonts w:ascii="Soberana Sans" w:eastAsia="Soberana Sans" w:hAnsi="Soberana Sans" w:cs="Soberana Sans"/>
                        <w:b/>
                        <w:sz w:val="16"/>
                        <w:lang w:val="es-ES"/>
                      </w:rPr>
                      <w:t>Unidad de Gobierno Digital</w:t>
                    </w:r>
                  </w:p>
                  <w:p w14:paraId="70F139B5" w14:textId="77777777" w:rsidR="00F709C7" w:rsidRPr="006F042C" w:rsidRDefault="00F709C7">
                    <w:pPr>
                      <w:pStyle w:val="Normal1"/>
                      <w:spacing w:line="180" w:lineRule="auto"/>
                      <w:jc w:val="right"/>
                      <w:textDirection w:val="btLr"/>
                      <w:rPr>
                        <w:lang w:val="es-ES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14:paraId="15494EA3" w14:textId="77777777" w:rsidR="00F709C7" w:rsidRDefault="00F709C7">
    <w:pPr>
      <w:pStyle w:val="Normal1"/>
      <w:rPr>
        <w:sz w:val="18"/>
        <w:szCs w:val="18"/>
      </w:rPr>
    </w:pPr>
  </w:p>
  <w:p w14:paraId="385A8FA4" w14:textId="77777777" w:rsidR="00F709C7" w:rsidRDefault="00F647F2">
    <w:pPr>
      <w:pStyle w:val="Normal1"/>
      <w:spacing w:line="180" w:lineRule="auto"/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</w:t>
    </w:r>
  </w:p>
  <w:p w14:paraId="05456AE9" w14:textId="77777777" w:rsidR="00F709C7" w:rsidRDefault="00F709C7">
    <w:pPr>
      <w:pStyle w:val="Normal1"/>
      <w:spacing w:line="180" w:lineRule="auto"/>
      <w:jc w:val="right"/>
      <w:rPr>
        <w:rFonts w:ascii="Times New Roman" w:eastAsia="Times New Roman" w:hAnsi="Times New Roman" w:cs="Times New Roman"/>
        <w:sz w:val="16"/>
        <w:szCs w:val="16"/>
      </w:rPr>
    </w:pPr>
  </w:p>
  <w:p w14:paraId="53232870" w14:textId="77777777" w:rsidR="00F709C7" w:rsidRDefault="00F709C7">
    <w:pPr>
      <w:pStyle w:val="Normal1"/>
      <w:spacing w:line="180" w:lineRule="auto"/>
      <w:rPr>
        <w:rFonts w:ascii="Open Sans" w:eastAsia="Open Sans" w:hAnsi="Open Sans" w:cs="Open Sans"/>
        <w:sz w:val="20"/>
        <w:szCs w:val="20"/>
      </w:rPr>
    </w:pPr>
  </w:p>
  <w:p w14:paraId="06D32895" w14:textId="77777777" w:rsidR="00F709C7" w:rsidRDefault="00F709C7">
    <w:pPr>
      <w:pStyle w:val="Normal1"/>
      <w:spacing w:line="180" w:lineRule="auto"/>
      <w:rPr>
        <w:rFonts w:ascii="Open Sans" w:eastAsia="Open Sans" w:hAnsi="Open Sans" w:cs="Open Sans"/>
        <w:b/>
        <w:sz w:val="20"/>
        <w:szCs w:val="20"/>
      </w:rPr>
    </w:pPr>
  </w:p>
  <w:p w14:paraId="6DC89213" w14:textId="77777777" w:rsidR="00F709C7" w:rsidRDefault="00F709C7">
    <w:pPr>
      <w:pStyle w:val="Normal1"/>
      <w:spacing w:line="180" w:lineRule="auto"/>
      <w:rPr>
        <w:rFonts w:ascii="Open Sans" w:eastAsia="Open Sans" w:hAnsi="Open Sans" w:cs="Open Sans"/>
        <w:b/>
        <w:sz w:val="20"/>
        <w:szCs w:val="20"/>
      </w:rPr>
    </w:pPr>
  </w:p>
  <w:p w14:paraId="581F673E" w14:textId="77777777" w:rsidR="005C5B9B" w:rsidRDefault="005C5B9B">
    <w:pPr>
      <w:pStyle w:val="Normal1"/>
      <w:spacing w:line="180" w:lineRule="auto"/>
      <w:rPr>
        <w:rFonts w:ascii="Open Sans" w:eastAsia="Open Sans" w:hAnsi="Open Sans" w:cs="Open Sans"/>
        <w:b/>
        <w:sz w:val="18"/>
        <w:szCs w:val="18"/>
      </w:rPr>
    </w:pPr>
  </w:p>
  <w:p w14:paraId="47C892BC" w14:textId="77777777" w:rsidR="005C5B9B" w:rsidRDefault="005C5B9B">
    <w:pPr>
      <w:pStyle w:val="Normal1"/>
      <w:spacing w:line="180" w:lineRule="auto"/>
      <w:rPr>
        <w:rFonts w:ascii="Open Sans" w:eastAsia="Open Sans" w:hAnsi="Open Sans" w:cs="Open Sans"/>
        <w:b/>
        <w:sz w:val="18"/>
        <w:szCs w:val="18"/>
      </w:rPr>
    </w:pPr>
  </w:p>
  <w:p w14:paraId="4010708B" w14:textId="77777777" w:rsidR="005C5B9B" w:rsidRDefault="005C5B9B">
    <w:pPr>
      <w:pStyle w:val="Normal1"/>
      <w:spacing w:line="180" w:lineRule="auto"/>
      <w:rPr>
        <w:rFonts w:ascii="Open Sans" w:eastAsia="Open Sans" w:hAnsi="Open Sans" w:cs="Open Sans"/>
        <w:b/>
        <w:sz w:val="18"/>
        <w:szCs w:val="18"/>
      </w:rPr>
    </w:pPr>
  </w:p>
  <w:p w14:paraId="51BA6993" w14:textId="77777777" w:rsidR="005C5B9B" w:rsidRDefault="005C5B9B">
    <w:pPr>
      <w:pStyle w:val="Normal1"/>
      <w:spacing w:line="180" w:lineRule="auto"/>
      <w:rPr>
        <w:rFonts w:ascii="Open Sans" w:eastAsia="Open Sans" w:hAnsi="Open Sans" w:cs="Open Sans"/>
        <w:b/>
        <w:sz w:val="18"/>
        <w:szCs w:val="18"/>
      </w:rPr>
    </w:pPr>
  </w:p>
  <w:p w14:paraId="4298DAB6" w14:textId="77777777" w:rsidR="00F709C7" w:rsidRPr="006F042C" w:rsidRDefault="00F647F2">
    <w:pPr>
      <w:pStyle w:val="Normal1"/>
      <w:spacing w:line="180" w:lineRule="auto"/>
      <w:rPr>
        <w:rFonts w:ascii="Open Sans" w:eastAsia="Open Sans" w:hAnsi="Open Sans" w:cs="Open Sans"/>
        <w:sz w:val="18"/>
        <w:szCs w:val="18"/>
        <w:lang w:val="es-ES"/>
      </w:rPr>
    </w:pPr>
    <w:r w:rsidRPr="006F042C">
      <w:rPr>
        <w:rFonts w:ascii="Open Sans" w:eastAsia="Open Sans" w:hAnsi="Open Sans" w:cs="Open Sans"/>
        <w:b/>
        <w:sz w:val="18"/>
        <w:szCs w:val="18"/>
        <w:lang w:val="es-ES"/>
      </w:rPr>
      <w:t>Para</w:t>
    </w:r>
    <w:r w:rsidRPr="006F042C">
      <w:rPr>
        <w:rFonts w:ascii="Open Sans" w:eastAsia="Open Sans" w:hAnsi="Open Sans" w:cs="Open Sans"/>
        <w:sz w:val="18"/>
        <w:szCs w:val="18"/>
        <w:lang w:val="es-ES"/>
      </w:rPr>
      <w:t xml:space="preserve">: Jorge Aristóteles Sandoval, Gobernador del Estado de Jalisco </w:t>
    </w:r>
  </w:p>
  <w:p w14:paraId="7D0B6309" w14:textId="4A952E56" w:rsidR="00F709C7" w:rsidRPr="006F042C" w:rsidRDefault="00F647F2">
    <w:pPr>
      <w:pStyle w:val="Normal1"/>
      <w:spacing w:line="180" w:lineRule="auto"/>
      <w:rPr>
        <w:rFonts w:ascii="Open Sans" w:eastAsia="Open Sans" w:hAnsi="Open Sans" w:cs="Open Sans"/>
        <w:sz w:val="18"/>
        <w:szCs w:val="18"/>
        <w:lang w:val="es-ES"/>
      </w:rPr>
    </w:pPr>
    <w:r w:rsidRPr="006F042C">
      <w:rPr>
        <w:rFonts w:ascii="Open Sans" w:eastAsia="Open Sans" w:hAnsi="Open Sans" w:cs="Open Sans"/>
        <w:b/>
        <w:sz w:val="18"/>
        <w:szCs w:val="18"/>
        <w:lang w:val="es-ES"/>
      </w:rPr>
      <w:t>De</w:t>
    </w:r>
    <w:r w:rsidRPr="006F042C">
      <w:rPr>
        <w:rFonts w:ascii="Open Sans" w:eastAsia="Open Sans" w:hAnsi="Open Sans" w:cs="Open Sans"/>
        <w:sz w:val="18"/>
        <w:szCs w:val="18"/>
        <w:lang w:val="es-ES"/>
      </w:rPr>
      <w:t xml:space="preserve">: Lic. Alejandra Lagunes, Coordinación de Estrategia Digital Nacional, Ciudad de México a </w:t>
    </w:r>
    <w:r w:rsidR="005C5B9B" w:rsidRPr="006F042C">
      <w:rPr>
        <w:rFonts w:ascii="Open Sans" w:eastAsia="Open Sans" w:hAnsi="Open Sans" w:cs="Open Sans"/>
        <w:sz w:val="18"/>
        <w:szCs w:val="18"/>
        <w:lang w:val="es-ES"/>
      </w:rPr>
      <w:t xml:space="preserve">10 de diciembre </w:t>
    </w:r>
    <w:r w:rsidRPr="006F042C">
      <w:rPr>
        <w:rFonts w:ascii="Open Sans" w:eastAsia="Open Sans" w:hAnsi="Open Sans" w:cs="Open Sans"/>
        <w:sz w:val="18"/>
        <w:szCs w:val="18"/>
        <w:lang w:val="es-ES"/>
      </w:rPr>
      <w:t>de 2017.</w:t>
    </w:r>
  </w:p>
  <w:tbl>
    <w:tblPr>
      <w:tblStyle w:val="a"/>
      <w:tblW w:w="9450" w:type="dxa"/>
      <w:tblInd w:w="20" w:type="dxa"/>
      <w:tblBorders>
        <w:top w:val="nil"/>
        <w:left w:val="nil"/>
        <w:bottom w:val="nil"/>
        <w:right w:val="nil"/>
        <w:insideH w:val="nil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450"/>
    </w:tblGrid>
    <w:tr w:rsidR="00F709C7" w14:paraId="04BB1676" w14:textId="77777777">
      <w:tc>
        <w:tcPr>
          <w:tcW w:w="9450" w:type="dxa"/>
          <w:shd w:val="clear" w:color="auto" w:fill="A6A6A6"/>
        </w:tcPr>
        <w:p w14:paraId="38E35831" w14:textId="77777777" w:rsidR="00F709C7" w:rsidRDefault="00F647F2">
          <w:pPr>
            <w:pStyle w:val="Normal1"/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Open Sans" w:eastAsia="Open Sans" w:hAnsi="Open Sans" w:cs="Open Sans"/>
              <w:b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sz w:val="20"/>
              <w:szCs w:val="20"/>
            </w:rPr>
            <w:t>FICHA INFORMATIVA</w:t>
          </w:r>
        </w:p>
      </w:tc>
    </w:tr>
  </w:tbl>
  <w:p w14:paraId="18596B5C" w14:textId="77777777" w:rsidR="00F709C7" w:rsidRDefault="00F709C7">
    <w:pPr>
      <w:pStyle w:val="Normal1"/>
      <w:spacing w:line="1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1315"/>
    <w:multiLevelType w:val="multilevel"/>
    <w:tmpl w:val="849CC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317C3A"/>
    <w:multiLevelType w:val="multilevel"/>
    <w:tmpl w:val="03345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4C5932"/>
    <w:multiLevelType w:val="multilevel"/>
    <w:tmpl w:val="407AF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C7"/>
    <w:rsid w:val="000C5145"/>
    <w:rsid w:val="005C5B9B"/>
    <w:rsid w:val="006F042C"/>
    <w:rsid w:val="00705C22"/>
    <w:rsid w:val="00724560"/>
    <w:rsid w:val="00AE205B"/>
    <w:rsid w:val="00BC504E"/>
    <w:rsid w:val="00F647F2"/>
    <w:rsid w:val="00F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0DEBB"/>
  <w15:docId w15:val="{E5EDCE39-B30C-40D0-B88B-262814E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47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F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5B9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B9B"/>
  </w:style>
  <w:style w:type="paragraph" w:styleId="Piedepgina">
    <w:name w:val="footer"/>
    <w:basedOn w:val="Normal"/>
    <w:link w:val="PiedepginaCar"/>
    <w:uiPriority w:val="99"/>
    <w:unhideWhenUsed/>
    <w:rsid w:val="005C5B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Alfredo Saldaña</cp:lastModifiedBy>
  <cp:revision>3</cp:revision>
  <cp:lastPrinted>2017-12-11T20:17:00Z</cp:lastPrinted>
  <dcterms:created xsi:type="dcterms:W3CDTF">2017-12-11T20:11:00Z</dcterms:created>
  <dcterms:modified xsi:type="dcterms:W3CDTF">2017-12-11T20:18:00Z</dcterms:modified>
</cp:coreProperties>
</file>