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F2" w:rsidRDefault="00586DF2" w:rsidP="006127C6">
      <w:pPr>
        <w:jc w:val="both"/>
      </w:pPr>
    </w:p>
    <w:p w:rsidR="00414D6F" w:rsidRDefault="00414D6F" w:rsidP="006127C6">
      <w:pPr>
        <w:jc w:val="both"/>
      </w:pPr>
    </w:p>
    <w:p w:rsidR="00414D6F" w:rsidRDefault="00414D6F" w:rsidP="006127C6">
      <w:pPr>
        <w:jc w:val="both"/>
      </w:pPr>
    </w:p>
    <w:p w:rsidR="00414D6F" w:rsidRPr="00DF372D" w:rsidRDefault="00414D6F" w:rsidP="00642C56">
      <w:pPr>
        <w:jc w:val="center"/>
        <w:rPr>
          <w:rFonts w:ascii="Calibri" w:hAnsi="Calibri" w:cs="Arial"/>
          <w:b/>
          <w:sz w:val="28"/>
        </w:rPr>
      </w:pPr>
      <w:r w:rsidRPr="00DF372D">
        <w:rPr>
          <w:rFonts w:ascii="Calibri" w:hAnsi="Calibri" w:cs="Arial"/>
          <w:b/>
          <w:sz w:val="28"/>
        </w:rPr>
        <w:t>XXXVIII REUNION ORDINARIA DE CONAGO</w:t>
      </w:r>
    </w:p>
    <w:p w:rsidR="00414D6F" w:rsidRPr="00EE130A" w:rsidRDefault="00414D6F" w:rsidP="00642C56">
      <w:pPr>
        <w:jc w:val="center"/>
        <w:rPr>
          <w:rFonts w:ascii="Calibri" w:hAnsi="Calibri" w:cs="Arial"/>
          <w:b/>
        </w:rPr>
      </w:pPr>
      <w:r>
        <w:rPr>
          <w:rFonts w:ascii="Calibri" w:hAnsi="Calibri" w:cs="Arial"/>
          <w:b/>
        </w:rPr>
        <w:t>MORELIA, MICHOACAN, 23 DE MARZO DE 2009</w:t>
      </w:r>
    </w:p>
    <w:p w:rsidR="00414D6F" w:rsidRPr="00EE130A" w:rsidRDefault="00414D6F" w:rsidP="006127C6">
      <w:pPr>
        <w:jc w:val="both"/>
        <w:rPr>
          <w:rFonts w:ascii="Calibri" w:hAnsi="Calibri" w:cs="Arial"/>
          <w:b/>
        </w:rPr>
      </w:pPr>
    </w:p>
    <w:p w:rsidR="00414D6F" w:rsidRDefault="00414D6F" w:rsidP="00642C56">
      <w:pPr>
        <w:jc w:val="both"/>
        <w:rPr>
          <w:rFonts w:ascii="Calibri" w:hAnsi="Calibri" w:cs="Arial"/>
          <w:b/>
        </w:rPr>
      </w:pPr>
      <w:r w:rsidRPr="00EE130A">
        <w:rPr>
          <w:rFonts w:ascii="Calibri" w:hAnsi="Calibri" w:cs="Arial"/>
          <w:b/>
        </w:rPr>
        <w:t xml:space="preserve">INFORME QUE PRESENTA EL </w:t>
      </w:r>
      <w:r w:rsidR="00DD30E2">
        <w:rPr>
          <w:rFonts w:ascii="Calibri" w:hAnsi="Calibri" w:cs="Arial"/>
          <w:b/>
        </w:rPr>
        <w:t>QUÍM. ANDRÉ</w:t>
      </w:r>
      <w:r>
        <w:rPr>
          <w:rFonts w:ascii="Calibri" w:hAnsi="Calibri" w:cs="Arial"/>
          <w:b/>
        </w:rPr>
        <w:t xml:space="preserve">S RAFAEL GRANIER MELO, </w:t>
      </w:r>
      <w:r w:rsidRPr="00EE130A">
        <w:rPr>
          <w:rFonts w:ascii="Calibri" w:hAnsi="Calibri" w:cs="Arial"/>
          <w:b/>
        </w:rPr>
        <w:t xml:space="preserve">GOBERNADOR </w:t>
      </w:r>
      <w:r w:rsidR="00DF372D">
        <w:rPr>
          <w:rFonts w:ascii="Calibri" w:hAnsi="Calibri" w:cs="Arial"/>
          <w:b/>
        </w:rPr>
        <w:t xml:space="preserve">DEL ESTADO </w:t>
      </w:r>
      <w:r w:rsidRPr="00EE130A">
        <w:rPr>
          <w:rFonts w:ascii="Calibri" w:hAnsi="Calibri" w:cs="Arial"/>
          <w:b/>
        </w:rPr>
        <w:t xml:space="preserve">DE </w:t>
      </w:r>
      <w:r w:rsidR="00DF372D">
        <w:rPr>
          <w:rFonts w:ascii="Calibri" w:hAnsi="Calibri" w:cs="Arial"/>
          <w:b/>
        </w:rPr>
        <w:t>TABASCO</w:t>
      </w:r>
      <w:r>
        <w:rPr>
          <w:rFonts w:ascii="Calibri" w:hAnsi="Calibri" w:cs="Arial"/>
          <w:b/>
        </w:rPr>
        <w:t xml:space="preserve"> Y COORDINADOR DE LA COMISIÓN PARA EL DESARROLLO INT</w:t>
      </w:r>
      <w:r w:rsidR="00642C56">
        <w:rPr>
          <w:rFonts w:ascii="Calibri" w:hAnsi="Calibri" w:cs="Arial"/>
          <w:b/>
        </w:rPr>
        <w:t xml:space="preserve">EGRAL DE LA REGION SUR SURESTE, DE CONFORMIDAD CON LO DISPUESTO EN LOS ARTÍCULOS 28 –FRACCIÓN XVI- Y TRANSITORIO SÉPTIMO DE LOS LINEAMIENTOS DE LA </w:t>
      </w:r>
      <w:r w:rsidRPr="007D7AC9">
        <w:rPr>
          <w:rFonts w:ascii="Calibri" w:hAnsi="Calibri" w:cs="Arial"/>
          <w:b/>
          <w:i/>
        </w:rPr>
        <w:t>C</w:t>
      </w:r>
      <w:r>
        <w:rPr>
          <w:rFonts w:ascii="Calibri" w:hAnsi="Calibri" w:cs="Arial"/>
          <w:b/>
          <w:i/>
        </w:rPr>
        <w:t>ONAGO</w:t>
      </w:r>
      <w:r w:rsidR="00BF5452">
        <w:rPr>
          <w:rFonts w:ascii="Calibri" w:hAnsi="Calibri" w:cs="Arial"/>
          <w:b/>
        </w:rPr>
        <w:t>.</w:t>
      </w:r>
    </w:p>
    <w:p w:rsidR="000D367B" w:rsidRDefault="000D367B" w:rsidP="00642C56">
      <w:pPr>
        <w:jc w:val="both"/>
        <w:rPr>
          <w:rFonts w:ascii="Calibri" w:hAnsi="Calibri" w:cs="Arial"/>
          <w:b/>
        </w:rPr>
      </w:pPr>
    </w:p>
    <w:p w:rsidR="000D367B" w:rsidRDefault="000D367B" w:rsidP="000D367B">
      <w:pPr>
        <w:jc w:val="both"/>
        <w:rPr>
          <w:rFonts w:asciiTheme="minorHAnsi" w:hAnsiTheme="minorHAnsi"/>
          <w:lang w:val="es-MX"/>
        </w:rPr>
      </w:pPr>
      <w:r w:rsidRPr="000D367B">
        <w:rPr>
          <w:rFonts w:asciiTheme="minorHAnsi" w:hAnsiTheme="minorHAnsi"/>
          <w:lang w:val="es-MX"/>
        </w:rPr>
        <w:t xml:space="preserve">El pleno de gobernadores de la XXXII Reunión Ordinaria de la CONAGO celebrada en Puerto Vallarta, Jalisco en Mayo de 2007, acordó el cambio de denominación de la Comisión de Desarrollo Integral de la Frontera Sur por el de </w:t>
      </w:r>
      <w:r w:rsidRPr="000D367B">
        <w:rPr>
          <w:rFonts w:asciiTheme="minorHAnsi" w:hAnsiTheme="minorHAnsi"/>
          <w:b/>
          <w:bCs/>
          <w:i/>
          <w:iCs/>
          <w:lang w:val="es-MX"/>
        </w:rPr>
        <w:t>Comisión para el Desarrollo Integral de la Región Sur Sureste</w:t>
      </w:r>
      <w:r w:rsidRPr="000D367B">
        <w:rPr>
          <w:rFonts w:asciiTheme="minorHAnsi" w:hAnsiTheme="minorHAnsi"/>
          <w:lang w:val="es-MX"/>
        </w:rPr>
        <w:t>, incorporando como miembros a los estados de Guerrero y Puebla.</w:t>
      </w:r>
    </w:p>
    <w:p w:rsidR="000D367B" w:rsidRPr="000D367B" w:rsidRDefault="000D367B" w:rsidP="000D367B">
      <w:pPr>
        <w:jc w:val="both"/>
        <w:rPr>
          <w:rFonts w:asciiTheme="minorHAnsi" w:hAnsiTheme="minorHAnsi"/>
          <w:sz w:val="20"/>
          <w:szCs w:val="20"/>
        </w:rPr>
      </w:pPr>
    </w:p>
    <w:p w:rsidR="000D367B" w:rsidRDefault="000D367B" w:rsidP="000D367B">
      <w:pPr>
        <w:jc w:val="both"/>
        <w:rPr>
          <w:rFonts w:asciiTheme="minorHAnsi" w:hAnsiTheme="minorHAnsi"/>
          <w:b/>
          <w:bCs/>
          <w:i/>
          <w:iCs/>
          <w:lang w:val="es-MX"/>
        </w:rPr>
      </w:pPr>
      <w:r w:rsidRPr="000D367B">
        <w:rPr>
          <w:rFonts w:asciiTheme="minorHAnsi" w:hAnsiTheme="minorHAnsi"/>
          <w:lang w:val="es-MX"/>
        </w:rPr>
        <w:t xml:space="preserve">En el pleno de la XXXVII Reunión Ordinaria, celebrada en Durango, Durango, el 7 Diciembre de 2009, </w:t>
      </w:r>
      <w:r w:rsidRPr="000D367B">
        <w:rPr>
          <w:rFonts w:asciiTheme="minorHAnsi" w:hAnsiTheme="minorHAnsi"/>
          <w:b/>
          <w:bCs/>
          <w:i/>
          <w:iCs/>
          <w:lang w:val="es-MX"/>
        </w:rPr>
        <w:t xml:space="preserve">se aprobó la designación </w:t>
      </w:r>
      <w:r w:rsidR="00E949A2">
        <w:rPr>
          <w:rFonts w:asciiTheme="minorHAnsi" w:hAnsiTheme="minorHAnsi"/>
          <w:b/>
          <w:bCs/>
          <w:i/>
          <w:iCs/>
          <w:lang w:val="es-MX"/>
        </w:rPr>
        <w:t>de Tabasco</w:t>
      </w:r>
      <w:r w:rsidRPr="000D367B">
        <w:rPr>
          <w:rFonts w:asciiTheme="minorHAnsi" w:hAnsiTheme="minorHAnsi"/>
          <w:b/>
          <w:bCs/>
          <w:i/>
          <w:iCs/>
          <w:lang w:val="es-MX"/>
        </w:rPr>
        <w:t xml:space="preserve">, como Coordinador de la Comisión. </w:t>
      </w:r>
    </w:p>
    <w:p w:rsidR="000D367B" w:rsidRPr="000D367B" w:rsidRDefault="000D367B" w:rsidP="000D367B">
      <w:pPr>
        <w:jc w:val="both"/>
        <w:rPr>
          <w:rFonts w:asciiTheme="minorHAnsi" w:hAnsiTheme="minorHAnsi"/>
          <w:sz w:val="20"/>
          <w:szCs w:val="20"/>
        </w:rPr>
      </w:pPr>
    </w:p>
    <w:p w:rsidR="000D367B" w:rsidRDefault="000D367B" w:rsidP="000D367B">
      <w:pPr>
        <w:jc w:val="both"/>
        <w:rPr>
          <w:rFonts w:asciiTheme="minorHAnsi" w:hAnsiTheme="minorHAnsi"/>
          <w:lang w:val="es-MX"/>
        </w:rPr>
      </w:pPr>
      <w:r w:rsidRPr="000D367B">
        <w:rPr>
          <w:rFonts w:asciiTheme="minorHAnsi" w:hAnsiTheme="minorHAnsi"/>
          <w:lang w:val="es-MX"/>
        </w:rPr>
        <w:t>Con la finalidad de integrar una agenda de trabajo común con los estados que integran la citada comisión,  se hizo una revisión de los documentos generados en el pleno de la CONAGO y otros foros o reuniones en donde se han abordado las diversas problemáticas de la Región</w:t>
      </w:r>
      <w:r>
        <w:rPr>
          <w:rFonts w:asciiTheme="minorHAnsi" w:hAnsiTheme="minorHAnsi"/>
          <w:lang w:val="es-MX"/>
        </w:rPr>
        <w:t>.</w:t>
      </w:r>
    </w:p>
    <w:p w:rsidR="000D367B" w:rsidRPr="000D367B" w:rsidRDefault="000D367B" w:rsidP="000D367B">
      <w:pPr>
        <w:jc w:val="both"/>
        <w:rPr>
          <w:rFonts w:asciiTheme="minorHAnsi" w:hAnsiTheme="minorHAnsi"/>
          <w:sz w:val="20"/>
          <w:szCs w:val="20"/>
        </w:rPr>
      </w:pPr>
    </w:p>
    <w:p w:rsidR="008B3769" w:rsidRPr="008B3769" w:rsidRDefault="008B3769" w:rsidP="006127C6">
      <w:pPr>
        <w:jc w:val="both"/>
        <w:rPr>
          <w:rFonts w:asciiTheme="minorHAnsi" w:hAnsiTheme="minorHAnsi"/>
        </w:rPr>
      </w:pPr>
      <w:r w:rsidRPr="008B3769">
        <w:rPr>
          <w:rFonts w:asciiTheme="minorHAnsi" w:hAnsiTheme="minorHAnsi"/>
        </w:rPr>
        <w:t>La naturaleza integral de la C</w:t>
      </w:r>
      <w:r w:rsidR="00DD30E2">
        <w:rPr>
          <w:rFonts w:asciiTheme="minorHAnsi" w:hAnsiTheme="minorHAnsi"/>
        </w:rPr>
        <w:t xml:space="preserve">omisión para el </w:t>
      </w:r>
      <w:r w:rsidRPr="008B3769">
        <w:rPr>
          <w:rFonts w:asciiTheme="minorHAnsi" w:hAnsiTheme="minorHAnsi"/>
        </w:rPr>
        <w:t>D</w:t>
      </w:r>
      <w:r w:rsidR="00DD30E2">
        <w:rPr>
          <w:rFonts w:asciiTheme="minorHAnsi" w:hAnsiTheme="minorHAnsi"/>
        </w:rPr>
        <w:t>esarrollo Integral de la Región Sur Sureste</w:t>
      </w:r>
      <w:r>
        <w:rPr>
          <w:rFonts w:asciiTheme="minorHAnsi" w:hAnsiTheme="minorHAnsi"/>
        </w:rPr>
        <w:t xml:space="preserve">, </w:t>
      </w:r>
      <w:r w:rsidR="00E949A2">
        <w:rPr>
          <w:rFonts w:asciiTheme="minorHAnsi" w:hAnsiTheme="minorHAnsi"/>
        </w:rPr>
        <w:t>hizo necesario</w:t>
      </w:r>
      <w:r>
        <w:rPr>
          <w:rFonts w:asciiTheme="minorHAnsi" w:hAnsiTheme="minorHAnsi"/>
        </w:rPr>
        <w:t xml:space="preserve"> </w:t>
      </w:r>
      <w:r w:rsidR="00E949A2">
        <w:rPr>
          <w:rFonts w:asciiTheme="minorHAnsi" w:hAnsiTheme="minorHAnsi"/>
        </w:rPr>
        <w:t xml:space="preserve">que </w:t>
      </w:r>
      <w:r>
        <w:rPr>
          <w:rFonts w:asciiTheme="minorHAnsi" w:hAnsiTheme="minorHAnsi"/>
        </w:rPr>
        <w:t>la</w:t>
      </w:r>
      <w:r w:rsidRPr="008B3769">
        <w:rPr>
          <w:rFonts w:asciiTheme="minorHAnsi" w:hAnsiTheme="minorHAnsi"/>
        </w:rPr>
        <w:t xml:space="preserve"> defin</w:t>
      </w:r>
      <w:r>
        <w:rPr>
          <w:rFonts w:asciiTheme="minorHAnsi" w:hAnsiTheme="minorHAnsi"/>
        </w:rPr>
        <w:t>ición de</w:t>
      </w:r>
      <w:r w:rsidRPr="008B3769">
        <w:rPr>
          <w:rFonts w:asciiTheme="minorHAnsi" w:hAnsiTheme="minorHAnsi"/>
        </w:rPr>
        <w:t xml:space="preserve"> </w:t>
      </w:r>
      <w:r w:rsidR="00E949A2">
        <w:rPr>
          <w:rFonts w:asciiTheme="minorHAnsi" w:hAnsiTheme="minorHAnsi"/>
        </w:rPr>
        <w:t>su</w:t>
      </w:r>
      <w:r w:rsidRPr="008B3769">
        <w:rPr>
          <w:rFonts w:asciiTheme="minorHAnsi" w:hAnsiTheme="minorHAnsi"/>
        </w:rPr>
        <w:t xml:space="preserve"> agenda de trabajo </w:t>
      </w:r>
      <w:r w:rsidR="00E949A2">
        <w:rPr>
          <w:rFonts w:asciiTheme="minorHAnsi" w:hAnsiTheme="minorHAnsi"/>
        </w:rPr>
        <w:t>se realizara cuidando no duplicar</w:t>
      </w:r>
      <w:r w:rsidRPr="008B3769">
        <w:rPr>
          <w:rFonts w:asciiTheme="minorHAnsi" w:hAnsiTheme="minorHAnsi"/>
        </w:rPr>
        <w:t xml:space="preserve"> los esfuerzos que reali</w:t>
      </w:r>
      <w:r w:rsidR="00E949A2">
        <w:rPr>
          <w:rFonts w:asciiTheme="minorHAnsi" w:hAnsiTheme="minorHAnsi"/>
        </w:rPr>
        <w:t>za</w:t>
      </w:r>
      <w:r w:rsidRPr="008B3769">
        <w:rPr>
          <w:rFonts w:asciiTheme="minorHAnsi" w:hAnsiTheme="minorHAnsi"/>
        </w:rPr>
        <w:t>n las otras comisiones de la CONAGO. En este sentido, es fundamental emprender un redimensionamiento de la Comisión, que le permita coordinar esfuerzos hacia el interior y el exterior de la Conferencia Nacional de Gobernadores, buscando en todo momento, que las acciones, propuestas, políticas, programas e iniciativas que se presenten o promuevan desde la CONAGO, atiendan, consideren e incluyan las necesidades y problemáticas de los estados que integran el Sur Sureste de México.</w:t>
      </w:r>
    </w:p>
    <w:p w:rsidR="008B3769" w:rsidRPr="008B3769" w:rsidRDefault="008B3769" w:rsidP="006127C6">
      <w:pPr>
        <w:tabs>
          <w:tab w:val="left" w:pos="2265"/>
          <w:tab w:val="center" w:pos="4009"/>
        </w:tabs>
        <w:jc w:val="both"/>
        <w:rPr>
          <w:rFonts w:ascii="Calibri" w:hAnsi="Calibri" w:cs="Arial"/>
          <w:sz w:val="20"/>
        </w:rPr>
      </w:pPr>
    </w:p>
    <w:p w:rsidR="003F16B6" w:rsidRDefault="00E949A2" w:rsidP="006127C6">
      <w:pPr>
        <w:tabs>
          <w:tab w:val="left" w:pos="2265"/>
          <w:tab w:val="center" w:pos="4009"/>
        </w:tabs>
        <w:jc w:val="both"/>
        <w:rPr>
          <w:rFonts w:ascii="Calibri" w:hAnsi="Calibri" w:cs="Arial"/>
        </w:rPr>
      </w:pPr>
      <w:r>
        <w:rPr>
          <w:rFonts w:ascii="Calibri" w:hAnsi="Calibri" w:cs="Arial"/>
        </w:rPr>
        <w:t>De esta forma,</w:t>
      </w:r>
      <w:r w:rsidR="00C916AF">
        <w:rPr>
          <w:rFonts w:ascii="Calibri" w:hAnsi="Calibri" w:cs="Arial"/>
        </w:rPr>
        <w:t xml:space="preserve"> se han realizado d</w:t>
      </w:r>
      <w:r w:rsidR="00DD30E2">
        <w:rPr>
          <w:rFonts w:ascii="Calibri" w:hAnsi="Calibri" w:cs="Arial"/>
        </w:rPr>
        <w:t xml:space="preserve">os </w:t>
      </w:r>
      <w:r w:rsidR="00E35681">
        <w:rPr>
          <w:rFonts w:ascii="Calibri" w:hAnsi="Calibri" w:cs="Arial"/>
        </w:rPr>
        <w:t>reuniones en la Ciudad de México con los representantes de los gobe</w:t>
      </w:r>
      <w:r w:rsidR="00DD30E2">
        <w:rPr>
          <w:rFonts w:ascii="Calibri" w:hAnsi="Calibri" w:cs="Arial"/>
        </w:rPr>
        <w:t>rnadores en las oficinas de la R</w:t>
      </w:r>
      <w:r w:rsidR="00E35681">
        <w:rPr>
          <w:rFonts w:ascii="Calibri" w:hAnsi="Calibri" w:cs="Arial"/>
        </w:rPr>
        <w:t>epresentación del Gobierno del Estado de Tabasco, los días 25 de febrero y 09 de Marzo del presente año</w:t>
      </w:r>
      <w:r w:rsidR="003F16B6">
        <w:rPr>
          <w:rFonts w:ascii="Calibri" w:hAnsi="Calibri" w:cs="Arial"/>
        </w:rPr>
        <w:t xml:space="preserve">, donde se </w:t>
      </w:r>
      <w:r w:rsidR="00DD30E2">
        <w:rPr>
          <w:rFonts w:ascii="Calibri" w:hAnsi="Calibri" w:cs="Arial"/>
        </w:rPr>
        <w:t>han tomado</w:t>
      </w:r>
      <w:r w:rsidR="003F16B6">
        <w:rPr>
          <w:rFonts w:ascii="Calibri" w:hAnsi="Calibri" w:cs="Arial"/>
        </w:rPr>
        <w:t xml:space="preserve"> los siguientes acuerdos:</w:t>
      </w:r>
    </w:p>
    <w:p w:rsidR="003F16B6" w:rsidRPr="004B7093" w:rsidRDefault="003F16B6" w:rsidP="006127C6">
      <w:pPr>
        <w:tabs>
          <w:tab w:val="left" w:pos="2265"/>
          <w:tab w:val="center" w:pos="4009"/>
        </w:tabs>
        <w:jc w:val="both"/>
        <w:rPr>
          <w:rFonts w:ascii="Calibri" w:hAnsi="Calibri" w:cs="Arial"/>
          <w:sz w:val="20"/>
        </w:rPr>
      </w:pPr>
    </w:p>
    <w:p w:rsidR="006127C6" w:rsidRDefault="006127C6" w:rsidP="006127C6">
      <w:pPr>
        <w:pStyle w:val="Prrafodelista"/>
        <w:numPr>
          <w:ilvl w:val="0"/>
          <w:numId w:val="9"/>
        </w:numPr>
        <w:tabs>
          <w:tab w:val="left" w:pos="567"/>
          <w:tab w:val="center" w:pos="4009"/>
        </w:tabs>
        <w:jc w:val="both"/>
        <w:rPr>
          <w:rFonts w:ascii="Calibri" w:hAnsi="Calibri" w:cs="Arial"/>
        </w:rPr>
      </w:pPr>
      <w:r>
        <w:rPr>
          <w:rFonts w:ascii="Calibri" w:hAnsi="Calibri" w:cs="Arial"/>
        </w:rPr>
        <w:t xml:space="preserve">   </w:t>
      </w:r>
      <w:r w:rsidR="003F16B6" w:rsidRPr="006127C6">
        <w:rPr>
          <w:rFonts w:ascii="Calibri" w:hAnsi="Calibri" w:cs="Arial"/>
        </w:rPr>
        <w:t xml:space="preserve">Integración de una </w:t>
      </w:r>
      <w:r w:rsidR="00C916AF">
        <w:rPr>
          <w:rFonts w:ascii="Calibri" w:hAnsi="Calibri" w:cs="Arial"/>
        </w:rPr>
        <w:t>Agenda P</w:t>
      </w:r>
      <w:r w:rsidR="003F16B6" w:rsidRPr="006127C6">
        <w:rPr>
          <w:rFonts w:ascii="Calibri" w:hAnsi="Calibri" w:cs="Arial"/>
        </w:rPr>
        <w:t xml:space="preserve">riorizada </w:t>
      </w:r>
      <w:r w:rsidR="00DD30E2" w:rsidRPr="006127C6">
        <w:rPr>
          <w:rFonts w:ascii="Calibri" w:hAnsi="Calibri" w:cs="Arial"/>
        </w:rPr>
        <w:t xml:space="preserve">2010 </w:t>
      </w:r>
      <w:r w:rsidR="003F16B6" w:rsidRPr="006127C6">
        <w:rPr>
          <w:rFonts w:ascii="Calibri" w:hAnsi="Calibri" w:cs="Arial"/>
        </w:rPr>
        <w:t xml:space="preserve">de temas de interés común </w:t>
      </w:r>
      <w:r w:rsidRPr="006127C6">
        <w:rPr>
          <w:rFonts w:ascii="Calibri" w:hAnsi="Calibri" w:cs="Arial"/>
        </w:rPr>
        <w:t xml:space="preserve">mediante la </w:t>
      </w:r>
      <w:r w:rsidR="008B3769" w:rsidRPr="006127C6">
        <w:rPr>
          <w:rFonts w:ascii="Calibri" w:hAnsi="Calibri" w:cs="Arial"/>
        </w:rPr>
        <w:t>presentación de propuestas por parte de los estados participantes</w:t>
      </w:r>
      <w:r w:rsidR="003F16B6" w:rsidRPr="006127C6">
        <w:rPr>
          <w:rFonts w:ascii="Calibri" w:hAnsi="Calibri" w:cs="Arial"/>
        </w:rPr>
        <w:t xml:space="preserve"> de la Comisi</w:t>
      </w:r>
      <w:r w:rsidR="008B3769" w:rsidRPr="006127C6">
        <w:rPr>
          <w:rFonts w:ascii="Calibri" w:hAnsi="Calibri" w:cs="Arial"/>
        </w:rPr>
        <w:t xml:space="preserve">ón, </w:t>
      </w:r>
      <w:r w:rsidR="003F16B6" w:rsidRPr="006127C6">
        <w:rPr>
          <w:rFonts w:ascii="Calibri" w:hAnsi="Calibri" w:cs="Arial"/>
        </w:rPr>
        <w:t xml:space="preserve">formulándose </w:t>
      </w:r>
      <w:r w:rsidR="008B3769" w:rsidRPr="006127C6">
        <w:rPr>
          <w:rFonts w:ascii="Calibri" w:hAnsi="Calibri" w:cs="Arial"/>
        </w:rPr>
        <w:t>en</w:t>
      </w:r>
      <w:r w:rsidR="003F16B6" w:rsidRPr="006127C6">
        <w:rPr>
          <w:rFonts w:ascii="Calibri" w:hAnsi="Calibri" w:cs="Arial"/>
        </w:rPr>
        <w:t xml:space="preserve"> 4 ejes rectores:</w:t>
      </w:r>
    </w:p>
    <w:p w:rsidR="00A00889" w:rsidRDefault="00A00889" w:rsidP="00A00889">
      <w:pPr>
        <w:tabs>
          <w:tab w:val="left" w:pos="567"/>
          <w:tab w:val="center" w:pos="4009"/>
        </w:tabs>
        <w:jc w:val="both"/>
        <w:rPr>
          <w:rFonts w:ascii="Calibri" w:hAnsi="Calibri" w:cs="Arial"/>
        </w:rPr>
      </w:pPr>
    </w:p>
    <w:p w:rsidR="00A00889" w:rsidRDefault="00A00889" w:rsidP="00A00889">
      <w:pPr>
        <w:tabs>
          <w:tab w:val="left" w:pos="567"/>
          <w:tab w:val="center" w:pos="4009"/>
        </w:tabs>
        <w:jc w:val="both"/>
        <w:rPr>
          <w:rFonts w:ascii="Calibri" w:hAnsi="Calibri" w:cs="Arial"/>
        </w:rPr>
      </w:pPr>
    </w:p>
    <w:p w:rsidR="00A00889" w:rsidRDefault="00A00889" w:rsidP="00A00889">
      <w:pPr>
        <w:tabs>
          <w:tab w:val="left" w:pos="567"/>
          <w:tab w:val="center" w:pos="4009"/>
        </w:tabs>
        <w:jc w:val="both"/>
        <w:rPr>
          <w:rFonts w:ascii="Calibri" w:hAnsi="Calibri" w:cs="Arial"/>
        </w:rPr>
      </w:pPr>
    </w:p>
    <w:p w:rsidR="00A00889" w:rsidRDefault="00A00889" w:rsidP="00A00889">
      <w:pPr>
        <w:tabs>
          <w:tab w:val="left" w:pos="567"/>
          <w:tab w:val="center" w:pos="4009"/>
        </w:tabs>
        <w:jc w:val="both"/>
        <w:rPr>
          <w:rFonts w:ascii="Calibri" w:hAnsi="Calibri" w:cs="Arial"/>
        </w:rPr>
      </w:pPr>
    </w:p>
    <w:p w:rsidR="00A00889" w:rsidRDefault="00A00889" w:rsidP="00A00889">
      <w:pPr>
        <w:tabs>
          <w:tab w:val="left" w:pos="567"/>
          <w:tab w:val="center" w:pos="4009"/>
        </w:tabs>
        <w:jc w:val="both"/>
        <w:rPr>
          <w:rFonts w:ascii="Calibri" w:hAnsi="Calibri" w:cs="Arial"/>
        </w:rPr>
      </w:pPr>
    </w:p>
    <w:p w:rsidR="00A00889" w:rsidRPr="00A00889" w:rsidRDefault="00A00889" w:rsidP="00A00889">
      <w:pPr>
        <w:tabs>
          <w:tab w:val="left" w:pos="567"/>
          <w:tab w:val="center" w:pos="4009"/>
        </w:tabs>
        <w:jc w:val="both"/>
        <w:rPr>
          <w:rFonts w:ascii="Calibri" w:hAnsi="Calibri" w:cs="Arial"/>
        </w:rPr>
      </w:pPr>
    </w:p>
    <w:p w:rsidR="006127C6" w:rsidRDefault="006127C6" w:rsidP="006127C6">
      <w:pPr>
        <w:pStyle w:val="Prrafodelista"/>
        <w:tabs>
          <w:tab w:val="left" w:pos="567"/>
          <w:tab w:val="center" w:pos="4009"/>
        </w:tabs>
        <w:jc w:val="both"/>
        <w:rPr>
          <w:rFonts w:ascii="Calibri" w:hAnsi="Calibri" w:cs="Arial"/>
        </w:rPr>
      </w:pPr>
    </w:p>
    <w:p w:rsidR="00A00889" w:rsidRDefault="00A00889" w:rsidP="006127C6">
      <w:pPr>
        <w:pStyle w:val="Prrafodelista"/>
        <w:tabs>
          <w:tab w:val="left" w:pos="567"/>
          <w:tab w:val="center" w:pos="4009"/>
        </w:tabs>
        <w:jc w:val="both"/>
        <w:rPr>
          <w:rFonts w:ascii="Calibri" w:hAnsi="Calibri" w:cs="Arial"/>
        </w:rPr>
      </w:pPr>
    </w:p>
    <w:p w:rsidR="00A00889" w:rsidRDefault="00A00889" w:rsidP="006127C6">
      <w:pPr>
        <w:pStyle w:val="Prrafodelista"/>
        <w:tabs>
          <w:tab w:val="left" w:pos="567"/>
          <w:tab w:val="center" w:pos="4009"/>
        </w:tabs>
        <w:jc w:val="both"/>
        <w:rPr>
          <w:rFonts w:ascii="Calibri" w:hAnsi="Calibri" w:cs="Arial"/>
        </w:rPr>
      </w:pPr>
    </w:p>
    <w:p w:rsidR="00A00889" w:rsidRDefault="00A00889" w:rsidP="006127C6">
      <w:pPr>
        <w:pStyle w:val="Prrafodelista"/>
        <w:tabs>
          <w:tab w:val="left" w:pos="567"/>
          <w:tab w:val="center" w:pos="4009"/>
        </w:tabs>
        <w:jc w:val="both"/>
        <w:rPr>
          <w:rFonts w:ascii="Calibri" w:hAnsi="Calibri" w:cs="Arial"/>
        </w:rPr>
      </w:pPr>
    </w:p>
    <w:p w:rsidR="00A00889" w:rsidRPr="006127C6" w:rsidRDefault="00A00889" w:rsidP="006127C6">
      <w:pPr>
        <w:pStyle w:val="Prrafodelista"/>
        <w:tabs>
          <w:tab w:val="left" w:pos="567"/>
          <w:tab w:val="center" w:pos="4009"/>
        </w:tabs>
        <w:jc w:val="both"/>
        <w:rPr>
          <w:rFonts w:ascii="Calibri" w:hAnsi="Calibri" w:cs="Arial"/>
        </w:rPr>
      </w:pPr>
    </w:p>
    <w:tbl>
      <w:tblPr>
        <w:tblStyle w:val="Cuadrculamedia3-nfasis2"/>
        <w:tblpPr w:leftFromText="141" w:rightFromText="141" w:vertAnchor="text" w:horzAnchor="margin" w:tblpXSpec="center" w:tblpY="785"/>
        <w:tblW w:w="9039" w:type="dxa"/>
        <w:tblLook w:val="04A0"/>
      </w:tblPr>
      <w:tblGrid>
        <w:gridCol w:w="2694"/>
        <w:gridCol w:w="6345"/>
      </w:tblGrid>
      <w:tr w:rsidR="00430F09" w:rsidTr="00430F09">
        <w:trPr>
          <w:cnfStyle w:val="100000000000"/>
        </w:trPr>
        <w:tc>
          <w:tcPr>
            <w:cnfStyle w:val="001000000000"/>
            <w:tcW w:w="2694" w:type="dxa"/>
          </w:tcPr>
          <w:p w:rsidR="00430F09" w:rsidRPr="004C1685" w:rsidRDefault="00430F09" w:rsidP="00430F09">
            <w:pPr>
              <w:pStyle w:val="Sinespaciado"/>
              <w:spacing w:line="276" w:lineRule="auto"/>
              <w:jc w:val="center"/>
              <w:rPr>
                <w:rFonts w:ascii="Arial" w:hAnsi="Arial" w:cs="Arial"/>
                <w:sz w:val="20"/>
              </w:rPr>
            </w:pPr>
            <w:r w:rsidRPr="004C1685">
              <w:rPr>
                <w:rFonts w:ascii="Arial" w:hAnsi="Arial" w:cs="Arial"/>
                <w:sz w:val="20"/>
                <w:lang w:val="es-ES_tradnl"/>
              </w:rPr>
              <w:t>EJE</w:t>
            </w:r>
            <w:r>
              <w:rPr>
                <w:rFonts w:ascii="Arial" w:hAnsi="Arial" w:cs="Arial"/>
                <w:sz w:val="20"/>
                <w:lang w:val="es-ES_tradnl"/>
              </w:rPr>
              <w:t xml:space="preserve"> 1</w:t>
            </w:r>
          </w:p>
        </w:tc>
        <w:tc>
          <w:tcPr>
            <w:tcW w:w="6345" w:type="dxa"/>
          </w:tcPr>
          <w:p w:rsidR="00430F09" w:rsidRDefault="00430F09" w:rsidP="00430F09">
            <w:pPr>
              <w:pStyle w:val="Sinespaciado"/>
              <w:spacing w:line="276" w:lineRule="auto"/>
              <w:jc w:val="both"/>
              <w:cnfStyle w:val="100000000000"/>
              <w:rPr>
                <w:rFonts w:ascii="Arial" w:hAnsi="Arial" w:cs="Arial"/>
              </w:rPr>
            </w:pPr>
            <w:r>
              <w:rPr>
                <w:rFonts w:ascii="Arial" w:hAnsi="Arial" w:cs="Arial"/>
              </w:rPr>
              <w:t>Redimensionamiento de la Comisión</w:t>
            </w:r>
          </w:p>
        </w:tc>
      </w:tr>
      <w:tr w:rsidR="00430F09" w:rsidTr="00430F09">
        <w:trPr>
          <w:cnfStyle w:val="000000100000"/>
        </w:trPr>
        <w:tc>
          <w:tcPr>
            <w:cnfStyle w:val="001000000000"/>
            <w:tcW w:w="2694" w:type="dxa"/>
          </w:tcPr>
          <w:p w:rsidR="00430F09" w:rsidRPr="0034272D" w:rsidRDefault="00430F09" w:rsidP="00430F09">
            <w:pPr>
              <w:pStyle w:val="Sinespaciado"/>
              <w:spacing w:line="276" w:lineRule="auto"/>
              <w:jc w:val="both"/>
              <w:rPr>
                <w:rFonts w:ascii="Arial" w:hAnsi="Arial" w:cs="Arial"/>
                <w:sz w:val="12"/>
                <w:lang w:val="es-ES_tradnl"/>
              </w:rPr>
            </w:pPr>
          </w:p>
          <w:p w:rsidR="00430F09" w:rsidRPr="00BE438F" w:rsidRDefault="00430F09" w:rsidP="00430F09">
            <w:pPr>
              <w:pStyle w:val="Sinespaciado"/>
              <w:spacing w:line="276" w:lineRule="auto"/>
              <w:jc w:val="both"/>
              <w:rPr>
                <w:rFonts w:ascii="Arial" w:hAnsi="Arial" w:cs="Arial"/>
                <w:sz w:val="18"/>
                <w:lang w:val="es-ES_tradnl"/>
              </w:rPr>
            </w:pPr>
          </w:p>
          <w:p w:rsidR="00430F09" w:rsidRPr="0034272D" w:rsidRDefault="00430F09" w:rsidP="00430F09">
            <w:pPr>
              <w:pStyle w:val="Sinespaciado"/>
              <w:spacing w:line="276" w:lineRule="auto"/>
              <w:jc w:val="center"/>
              <w:rPr>
                <w:rFonts w:ascii="Arial" w:hAnsi="Arial" w:cs="Arial"/>
                <w:sz w:val="20"/>
              </w:rPr>
            </w:pPr>
            <w:r w:rsidRPr="0034272D">
              <w:rPr>
                <w:rFonts w:ascii="Arial" w:hAnsi="Arial" w:cs="Arial"/>
                <w:sz w:val="20"/>
                <w:lang w:val="es-ES_tradnl"/>
              </w:rPr>
              <w:t>OBJETIVO</w:t>
            </w:r>
          </w:p>
        </w:tc>
        <w:tc>
          <w:tcPr>
            <w:tcW w:w="6345" w:type="dxa"/>
          </w:tcPr>
          <w:p w:rsidR="00430F09" w:rsidRDefault="00430F09" w:rsidP="00430F09">
            <w:pPr>
              <w:pStyle w:val="Sinespaciado"/>
              <w:spacing w:line="276" w:lineRule="auto"/>
              <w:jc w:val="both"/>
              <w:cnfStyle w:val="000000100000"/>
              <w:rPr>
                <w:rFonts w:ascii="Arial" w:hAnsi="Arial" w:cs="Arial"/>
              </w:rPr>
            </w:pPr>
            <w:r>
              <w:rPr>
                <w:rFonts w:ascii="Arial" w:hAnsi="Arial" w:cs="Arial"/>
              </w:rPr>
              <w:t>Constituir a la Comisión como órgano referente  para facilitar, gestionar e impulsar aquellos proyectos, programas y acciones emprendidos desde los tres órdenes de gobierno, así como  asociaciones y organismos independientes, dirigidos a incidir directamente en el desarrollo económico, social y político de la región.</w:t>
            </w:r>
          </w:p>
        </w:tc>
      </w:tr>
      <w:tr w:rsidR="00430F09" w:rsidTr="00430F09">
        <w:tc>
          <w:tcPr>
            <w:cnfStyle w:val="001000000000"/>
            <w:tcW w:w="2694" w:type="dxa"/>
          </w:tcPr>
          <w:p w:rsidR="00430F09" w:rsidRPr="004C1685" w:rsidRDefault="00430F09" w:rsidP="00CE744D">
            <w:pPr>
              <w:pStyle w:val="Sinespaciado"/>
              <w:spacing w:line="276" w:lineRule="auto"/>
              <w:jc w:val="center"/>
              <w:rPr>
                <w:rFonts w:ascii="Arial" w:hAnsi="Arial" w:cs="Arial"/>
                <w:b w:val="0"/>
                <w:sz w:val="20"/>
                <w:lang w:val="es-ES_tradnl"/>
              </w:rPr>
            </w:pPr>
            <w:r>
              <w:rPr>
                <w:rFonts w:ascii="Arial" w:hAnsi="Arial" w:cs="Arial"/>
                <w:sz w:val="20"/>
                <w:lang w:val="es-ES_tradnl"/>
              </w:rPr>
              <w:t>PRO</w:t>
            </w:r>
            <w:r w:rsidR="00CE744D">
              <w:rPr>
                <w:rFonts w:ascii="Arial" w:hAnsi="Arial" w:cs="Arial"/>
                <w:sz w:val="20"/>
                <w:lang w:val="es-ES_tradnl"/>
              </w:rPr>
              <w:t>YEC</w:t>
            </w:r>
            <w:r>
              <w:rPr>
                <w:rFonts w:ascii="Arial" w:hAnsi="Arial" w:cs="Arial"/>
                <w:sz w:val="20"/>
                <w:lang w:val="es-ES_tradnl"/>
              </w:rPr>
              <w:t>TO</w:t>
            </w:r>
          </w:p>
        </w:tc>
        <w:tc>
          <w:tcPr>
            <w:tcW w:w="6345" w:type="dxa"/>
          </w:tcPr>
          <w:p w:rsidR="00430F09" w:rsidRDefault="00430F09" w:rsidP="00430F09">
            <w:pPr>
              <w:pStyle w:val="Sinespaciado"/>
              <w:spacing w:line="276" w:lineRule="auto"/>
              <w:jc w:val="both"/>
              <w:cnfStyle w:val="000000000000"/>
              <w:rPr>
                <w:rFonts w:ascii="Arial" w:hAnsi="Arial" w:cs="Arial"/>
              </w:rPr>
            </w:pPr>
            <w:r>
              <w:rPr>
                <w:rFonts w:ascii="Arial" w:hAnsi="Arial" w:cs="Arial"/>
                <w:lang w:val="es-ES_tradnl"/>
              </w:rPr>
              <w:t>C</w:t>
            </w:r>
            <w:r>
              <w:rPr>
                <w:rFonts w:ascii="Arial" w:hAnsi="Arial" w:cs="Arial"/>
              </w:rPr>
              <w:t>artera  Interinstitucional de Proyectos (CIP)</w:t>
            </w:r>
          </w:p>
        </w:tc>
      </w:tr>
      <w:tr w:rsidR="00430F09" w:rsidTr="00430F09">
        <w:trPr>
          <w:cnfStyle w:val="000000100000"/>
        </w:trPr>
        <w:tc>
          <w:tcPr>
            <w:cnfStyle w:val="001000000000"/>
            <w:tcW w:w="2694" w:type="dxa"/>
          </w:tcPr>
          <w:p w:rsidR="00430F09" w:rsidRDefault="00430F09" w:rsidP="00430F09">
            <w:pPr>
              <w:pStyle w:val="Sinespaciado"/>
              <w:spacing w:line="276" w:lineRule="auto"/>
              <w:jc w:val="center"/>
              <w:rPr>
                <w:rFonts w:ascii="Arial" w:hAnsi="Arial" w:cs="Arial"/>
                <w:sz w:val="20"/>
                <w:lang w:val="es-ES_tradnl"/>
              </w:rPr>
            </w:pPr>
          </w:p>
          <w:p w:rsidR="00CE744D" w:rsidRDefault="00CE744D" w:rsidP="00430F09">
            <w:pPr>
              <w:pStyle w:val="Sinespaciado"/>
              <w:spacing w:line="276" w:lineRule="auto"/>
              <w:jc w:val="center"/>
              <w:rPr>
                <w:rFonts w:ascii="Arial" w:hAnsi="Arial" w:cs="Arial"/>
                <w:sz w:val="20"/>
                <w:lang w:val="es-ES_tradnl"/>
              </w:rPr>
            </w:pPr>
          </w:p>
          <w:p w:rsidR="00430F09" w:rsidRPr="00E23D8A" w:rsidRDefault="00430F09" w:rsidP="00430F09">
            <w:pPr>
              <w:pStyle w:val="Sinespaciado"/>
              <w:spacing w:line="276" w:lineRule="auto"/>
              <w:jc w:val="center"/>
              <w:rPr>
                <w:rFonts w:ascii="Arial" w:hAnsi="Arial" w:cs="Arial"/>
                <w:sz w:val="20"/>
                <w:lang w:val="es-ES_tradnl"/>
              </w:rPr>
            </w:pPr>
            <w:r w:rsidRPr="00E23D8A">
              <w:rPr>
                <w:rFonts w:ascii="Arial" w:hAnsi="Arial" w:cs="Arial"/>
                <w:sz w:val="20"/>
                <w:lang w:val="es-ES_tradnl"/>
              </w:rPr>
              <w:t>LINEAS DE ACCIÓN</w:t>
            </w:r>
          </w:p>
        </w:tc>
        <w:tc>
          <w:tcPr>
            <w:tcW w:w="6345" w:type="dxa"/>
          </w:tcPr>
          <w:p w:rsidR="00430F09" w:rsidRDefault="00430F09" w:rsidP="00430F09">
            <w:pPr>
              <w:pStyle w:val="Sinespaciado"/>
              <w:numPr>
                <w:ilvl w:val="0"/>
                <w:numId w:val="10"/>
              </w:numPr>
              <w:spacing w:line="276" w:lineRule="auto"/>
              <w:ind w:left="283" w:hanging="283"/>
              <w:jc w:val="both"/>
              <w:cnfStyle w:val="000000100000"/>
              <w:rPr>
                <w:rFonts w:ascii="Arial" w:hAnsi="Arial" w:cs="Arial"/>
              </w:rPr>
            </w:pPr>
            <w:r>
              <w:rPr>
                <w:rFonts w:ascii="Arial" w:hAnsi="Arial" w:cs="Arial"/>
              </w:rPr>
              <w:t>Elaborar agenda de reuniones con otras comisiones de CONAGO, dependencias, instituciones, organizaciones públicas y privadas, nacionales e internacionales para conocer sus proyectos, acciones y programas identificando áreas de oportunidad para la participación de la Comisión.</w:t>
            </w:r>
          </w:p>
          <w:p w:rsidR="00430F09" w:rsidRDefault="00430F09" w:rsidP="00430F09">
            <w:pPr>
              <w:pStyle w:val="Sinespaciado"/>
              <w:numPr>
                <w:ilvl w:val="0"/>
                <w:numId w:val="10"/>
              </w:numPr>
              <w:spacing w:line="276" w:lineRule="auto"/>
              <w:ind w:left="283" w:hanging="283"/>
              <w:jc w:val="both"/>
              <w:cnfStyle w:val="000000100000"/>
              <w:rPr>
                <w:rFonts w:ascii="Arial" w:hAnsi="Arial" w:cs="Arial"/>
              </w:rPr>
            </w:pPr>
            <w:r>
              <w:rPr>
                <w:rFonts w:ascii="Arial" w:hAnsi="Arial" w:cs="Arial"/>
              </w:rPr>
              <w:t xml:space="preserve">Integrar Cartera Interinstitucional de Proyectos (CIP), donde </w:t>
            </w:r>
            <w:r w:rsidR="00E949A2">
              <w:rPr>
                <w:rFonts w:ascii="Arial" w:hAnsi="Arial" w:cs="Arial"/>
              </w:rPr>
              <w:t>se definan</w:t>
            </w:r>
            <w:r>
              <w:rPr>
                <w:rFonts w:ascii="Arial" w:hAnsi="Arial" w:cs="Arial"/>
              </w:rPr>
              <w:t xml:space="preserve"> los alcances de la participación de la Comisión, así como los estados que serán los encargados de dar seguimiento a cada uno de los temas al interior de la Comisión.</w:t>
            </w:r>
          </w:p>
          <w:p w:rsidR="00430F09" w:rsidRDefault="00430F09" w:rsidP="00430F09">
            <w:pPr>
              <w:pStyle w:val="Sinespaciado"/>
              <w:numPr>
                <w:ilvl w:val="0"/>
                <w:numId w:val="10"/>
              </w:numPr>
              <w:spacing w:line="276" w:lineRule="auto"/>
              <w:ind w:left="283" w:hanging="283"/>
              <w:jc w:val="both"/>
              <w:cnfStyle w:val="000000100000"/>
              <w:rPr>
                <w:rFonts w:ascii="Arial" w:hAnsi="Arial" w:cs="Arial"/>
              </w:rPr>
            </w:pPr>
            <w:r>
              <w:rPr>
                <w:rFonts w:ascii="Arial" w:hAnsi="Arial" w:cs="Arial"/>
              </w:rPr>
              <w:t xml:space="preserve">Realizar una reunión ejecutiva de la Comisión, donde participen todos o la mayoría de los gobernadores que la integran, para aprobar la CIP, emitiendo un documento del </w:t>
            </w:r>
            <w:r w:rsidR="00E949A2">
              <w:rPr>
                <w:rFonts w:ascii="Arial" w:hAnsi="Arial" w:cs="Arial"/>
              </w:rPr>
              <w:t>coordinador de la Comisión,</w:t>
            </w:r>
            <w:r>
              <w:rPr>
                <w:rFonts w:ascii="Arial" w:hAnsi="Arial" w:cs="Arial"/>
              </w:rPr>
              <w:t xml:space="preserve"> dirigido a los organismos y asociaciones para formalizar compromisos, metas, tiempos y responsables. </w:t>
            </w:r>
          </w:p>
          <w:p w:rsidR="00430F09" w:rsidRPr="003D208C" w:rsidRDefault="00430F09" w:rsidP="00430F09">
            <w:pPr>
              <w:pStyle w:val="Sinespaciado"/>
              <w:spacing w:line="276" w:lineRule="auto"/>
              <w:jc w:val="both"/>
              <w:cnfStyle w:val="000000100000"/>
              <w:rPr>
                <w:rFonts w:ascii="Arial" w:hAnsi="Arial" w:cs="Arial"/>
              </w:rPr>
            </w:pPr>
          </w:p>
        </w:tc>
      </w:tr>
      <w:tr w:rsidR="00430F09" w:rsidTr="00430F09">
        <w:tc>
          <w:tcPr>
            <w:cnfStyle w:val="001000000000"/>
            <w:tcW w:w="2694" w:type="dxa"/>
          </w:tcPr>
          <w:p w:rsidR="00430F09" w:rsidRDefault="00430F09" w:rsidP="00430F09">
            <w:pPr>
              <w:pStyle w:val="Sinespaciado"/>
              <w:spacing w:line="276" w:lineRule="auto"/>
              <w:jc w:val="center"/>
              <w:rPr>
                <w:rFonts w:ascii="Arial" w:hAnsi="Arial" w:cs="Arial"/>
                <w:sz w:val="20"/>
                <w:lang w:val="es-ES_tradnl"/>
              </w:rPr>
            </w:pPr>
            <w:r>
              <w:rPr>
                <w:rFonts w:ascii="Arial" w:hAnsi="Arial" w:cs="Arial"/>
                <w:sz w:val="20"/>
                <w:lang w:val="es-ES_tradnl"/>
              </w:rPr>
              <w:t>IMPACTO/BENEFICIO</w:t>
            </w:r>
          </w:p>
        </w:tc>
        <w:tc>
          <w:tcPr>
            <w:tcW w:w="6345" w:type="dxa"/>
          </w:tcPr>
          <w:p w:rsidR="00430F09" w:rsidRDefault="00430F09" w:rsidP="00E949A2">
            <w:pPr>
              <w:pStyle w:val="Sinespaciado"/>
              <w:spacing w:line="276" w:lineRule="auto"/>
              <w:jc w:val="both"/>
              <w:cnfStyle w:val="000000000000"/>
              <w:rPr>
                <w:rFonts w:ascii="Arial" w:hAnsi="Arial" w:cs="Arial"/>
              </w:rPr>
            </w:pPr>
            <w:r>
              <w:rPr>
                <w:rFonts w:ascii="Arial" w:hAnsi="Arial" w:cs="Arial"/>
              </w:rPr>
              <w:t xml:space="preserve">Todos los estados del Sur Sureste. Evita duplicar esfuerzos. Facilita seguimiento. Permite integrar en los programas, acciones e iniciativas </w:t>
            </w:r>
            <w:r w:rsidR="00E949A2">
              <w:rPr>
                <w:rFonts w:ascii="Arial" w:hAnsi="Arial" w:cs="Arial"/>
              </w:rPr>
              <w:t xml:space="preserve">de alcance nacional, </w:t>
            </w:r>
            <w:r>
              <w:rPr>
                <w:rFonts w:ascii="Arial" w:hAnsi="Arial" w:cs="Arial"/>
              </w:rPr>
              <w:t>la atención de las necesidades y propuestas de los estados que integran la región.</w:t>
            </w:r>
          </w:p>
        </w:tc>
      </w:tr>
    </w:tbl>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tbl>
      <w:tblPr>
        <w:tblStyle w:val="Cuadrculamedia3-nfasis2"/>
        <w:tblpPr w:leftFromText="141" w:rightFromText="141" w:vertAnchor="page" w:horzAnchor="margin" w:tblpX="500" w:tblpY="2851"/>
        <w:tblW w:w="0" w:type="auto"/>
        <w:tblLook w:val="04A0"/>
      </w:tblPr>
      <w:tblGrid>
        <w:gridCol w:w="2757"/>
        <w:gridCol w:w="6282"/>
      </w:tblGrid>
      <w:tr w:rsidR="00A00889" w:rsidTr="00A3014E">
        <w:trPr>
          <w:cnfStyle w:val="100000000000"/>
          <w:trHeight w:val="271"/>
        </w:trPr>
        <w:tc>
          <w:tcPr>
            <w:cnfStyle w:val="001000000000"/>
            <w:tcW w:w="2757" w:type="dxa"/>
          </w:tcPr>
          <w:p w:rsidR="00A00889" w:rsidRPr="004C1685" w:rsidRDefault="00A00889" w:rsidP="00A3014E">
            <w:pPr>
              <w:pStyle w:val="Sinespaciado"/>
              <w:spacing w:line="276" w:lineRule="auto"/>
              <w:jc w:val="center"/>
              <w:rPr>
                <w:rFonts w:ascii="Arial" w:hAnsi="Arial" w:cs="Arial"/>
                <w:sz w:val="20"/>
              </w:rPr>
            </w:pPr>
            <w:r w:rsidRPr="004C1685">
              <w:rPr>
                <w:rFonts w:ascii="Arial" w:hAnsi="Arial" w:cs="Arial"/>
                <w:sz w:val="20"/>
                <w:lang w:val="es-ES_tradnl"/>
              </w:rPr>
              <w:t>EJE</w:t>
            </w:r>
            <w:r>
              <w:rPr>
                <w:rFonts w:ascii="Arial" w:hAnsi="Arial" w:cs="Arial"/>
                <w:sz w:val="20"/>
                <w:lang w:val="es-ES_tradnl"/>
              </w:rPr>
              <w:t xml:space="preserve"> 2</w:t>
            </w:r>
          </w:p>
        </w:tc>
        <w:tc>
          <w:tcPr>
            <w:tcW w:w="6282" w:type="dxa"/>
          </w:tcPr>
          <w:p w:rsidR="00A00889" w:rsidRPr="00DC4295" w:rsidRDefault="00A00889" w:rsidP="00A3014E">
            <w:pPr>
              <w:cnfStyle w:val="100000000000"/>
              <w:rPr>
                <w:rFonts w:ascii="Arial" w:hAnsi="Arial" w:cs="Arial"/>
                <w:lang w:val="es-ES_tradnl"/>
              </w:rPr>
            </w:pPr>
            <w:r w:rsidRPr="004C1685">
              <w:rPr>
                <w:rFonts w:ascii="Arial" w:hAnsi="Arial" w:cs="Arial"/>
                <w:lang w:val="es-ES_tradnl"/>
              </w:rPr>
              <w:t>Frontera Sur</w:t>
            </w:r>
            <w:r>
              <w:rPr>
                <w:rFonts w:ascii="Arial" w:hAnsi="Arial" w:cs="Arial"/>
                <w:lang w:val="es-ES_tradnl"/>
              </w:rPr>
              <w:t>, plataforma de desarrollo</w:t>
            </w:r>
          </w:p>
        </w:tc>
      </w:tr>
      <w:tr w:rsidR="00A00889" w:rsidTr="00A3014E">
        <w:trPr>
          <w:cnfStyle w:val="000000100000"/>
          <w:trHeight w:val="547"/>
        </w:trPr>
        <w:tc>
          <w:tcPr>
            <w:cnfStyle w:val="001000000000"/>
            <w:tcW w:w="2757" w:type="dxa"/>
          </w:tcPr>
          <w:p w:rsidR="00A00889" w:rsidRPr="0034272D" w:rsidRDefault="00A00889" w:rsidP="00A3014E">
            <w:pPr>
              <w:pStyle w:val="Sinespaciado"/>
              <w:spacing w:line="276" w:lineRule="auto"/>
              <w:jc w:val="center"/>
              <w:rPr>
                <w:rFonts w:ascii="Arial" w:hAnsi="Arial" w:cs="Arial"/>
                <w:sz w:val="12"/>
                <w:lang w:val="es-ES_tradnl"/>
              </w:rPr>
            </w:pPr>
          </w:p>
          <w:p w:rsidR="00A00889" w:rsidRPr="0034272D" w:rsidRDefault="00A00889" w:rsidP="00A3014E">
            <w:pPr>
              <w:pStyle w:val="Sinespaciado"/>
              <w:spacing w:line="276" w:lineRule="auto"/>
              <w:jc w:val="center"/>
              <w:rPr>
                <w:rFonts w:ascii="Arial" w:hAnsi="Arial" w:cs="Arial"/>
                <w:sz w:val="20"/>
              </w:rPr>
            </w:pPr>
            <w:r w:rsidRPr="0034272D">
              <w:rPr>
                <w:rFonts w:ascii="Arial" w:hAnsi="Arial" w:cs="Arial"/>
                <w:sz w:val="20"/>
                <w:lang w:val="es-ES_tradnl"/>
              </w:rPr>
              <w:t>OBJETIVO</w:t>
            </w:r>
          </w:p>
        </w:tc>
        <w:tc>
          <w:tcPr>
            <w:tcW w:w="6282" w:type="dxa"/>
          </w:tcPr>
          <w:p w:rsidR="00A00889" w:rsidRPr="004C1685" w:rsidRDefault="00A00889" w:rsidP="00A3014E">
            <w:pPr>
              <w:pStyle w:val="Sinespaciado"/>
              <w:spacing w:line="276" w:lineRule="auto"/>
              <w:jc w:val="both"/>
              <w:cnfStyle w:val="000000100000"/>
              <w:rPr>
                <w:rFonts w:ascii="Arial" w:hAnsi="Arial" w:cs="Arial"/>
                <w:lang w:val="es-ES_tradnl"/>
              </w:rPr>
            </w:pPr>
            <w:r>
              <w:rPr>
                <w:rFonts w:ascii="Arial" w:hAnsi="Arial" w:cs="Arial"/>
              </w:rPr>
              <w:t>O</w:t>
            </w:r>
            <w:proofErr w:type="spellStart"/>
            <w:r>
              <w:rPr>
                <w:rFonts w:ascii="Arial" w:hAnsi="Arial" w:cs="Arial"/>
                <w:lang w:val="es-ES_tradnl"/>
              </w:rPr>
              <w:t>btener</w:t>
            </w:r>
            <w:proofErr w:type="spellEnd"/>
            <w:r>
              <w:rPr>
                <w:rFonts w:ascii="Arial" w:hAnsi="Arial" w:cs="Arial"/>
                <w:lang w:val="es-ES_tradnl"/>
              </w:rPr>
              <w:t xml:space="preserve"> financiamiento e incentivos que permita iniciar</w:t>
            </w:r>
            <w:r w:rsidRPr="004C1685">
              <w:rPr>
                <w:rFonts w:ascii="Arial" w:hAnsi="Arial" w:cs="Arial"/>
                <w:lang w:val="es-ES_tradnl"/>
              </w:rPr>
              <w:t xml:space="preserve"> </w:t>
            </w:r>
            <w:r>
              <w:rPr>
                <w:rFonts w:ascii="Arial" w:hAnsi="Arial" w:cs="Arial"/>
                <w:lang w:val="es-ES_tradnl"/>
              </w:rPr>
              <w:t xml:space="preserve">un </w:t>
            </w:r>
            <w:r w:rsidRPr="004C1685">
              <w:rPr>
                <w:rFonts w:ascii="Arial" w:hAnsi="Arial" w:cs="Arial"/>
                <w:lang w:val="es-ES_tradnl"/>
              </w:rPr>
              <w:t>desarrollo comercial e industrial</w:t>
            </w:r>
            <w:r>
              <w:rPr>
                <w:rFonts w:ascii="Arial" w:hAnsi="Arial" w:cs="Arial"/>
                <w:lang w:val="es-ES_tradnl"/>
              </w:rPr>
              <w:t xml:space="preserve"> en la zona fronteriza con Guatemala. </w:t>
            </w:r>
          </w:p>
        </w:tc>
      </w:tr>
      <w:tr w:rsidR="00A00889" w:rsidTr="00A3014E">
        <w:trPr>
          <w:trHeight w:val="326"/>
        </w:trPr>
        <w:tc>
          <w:tcPr>
            <w:cnfStyle w:val="001000000000"/>
            <w:tcW w:w="2757" w:type="dxa"/>
          </w:tcPr>
          <w:p w:rsidR="00CE744D" w:rsidRPr="00CE744D" w:rsidRDefault="00CE744D" w:rsidP="00A3014E">
            <w:pPr>
              <w:pStyle w:val="Sinespaciado"/>
              <w:spacing w:line="276" w:lineRule="auto"/>
              <w:jc w:val="center"/>
              <w:rPr>
                <w:rFonts w:ascii="Arial" w:hAnsi="Arial" w:cs="Arial"/>
                <w:sz w:val="10"/>
                <w:lang w:val="es-ES_tradnl"/>
              </w:rPr>
            </w:pPr>
          </w:p>
          <w:p w:rsidR="00A00889" w:rsidRPr="004C1685" w:rsidRDefault="00A00889" w:rsidP="00A3014E">
            <w:pPr>
              <w:pStyle w:val="Sinespaciado"/>
              <w:spacing w:line="276" w:lineRule="auto"/>
              <w:jc w:val="center"/>
              <w:rPr>
                <w:rFonts w:ascii="Arial" w:hAnsi="Arial" w:cs="Arial"/>
                <w:b w:val="0"/>
                <w:sz w:val="20"/>
                <w:lang w:val="es-ES_tradnl"/>
              </w:rPr>
            </w:pPr>
            <w:r w:rsidRPr="004C1685">
              <w:rPr>
                <w:rFonts w:ascii="Arial" w:hAnsi="Arial" w:cs="Arial"/>
                <w:sz w:val="20"/>
                <w:lang w:val="es-ES_tradnl"/>
              </w:rPr>
              <w:t>PROYECTO</w:t>
            </w:r>
          </w:p>
        </w:tc>
        <w:tc>
          <w:tcPr>
            <w:tcW w:w="6282" w:type="dxa"/>
          </w:tcPr>
          <w:p w:rsidR="00CE744D" w:rsidRPr="00CE744D" w:rsidRDefault="00CE744D" w:rsidP="00CE744D">
            <w:pPr>
              <w:pStyle w:val="Sinespaciado"/>
              <w:spacing w:line="276" w:lineRule="auto"/>
              <w:jc w:val="both"/>
              <w:cnfStyle w:val="000000000000"/>
              <w:rPr>
                <w:rFonts w:ascii="Arial" w:hAnsi="Arial" w:cs="Arial"/>
                <w:sz w:val="10"/>
                <w:lang w:val="es-ES_tradnl"/>
              </w:rPr>
            </w:pPr>
          </w:p>
          <w:p w:rsidR="00A00889" w:rsidRPr="004C1685" w:rsidRDefault="00A00889" w:rsidP="00CE744D">
            <w:pPr>
              <w:pStyle w:val="Sinespaciado"/>
              <w:spacing w:line="276" w:lineRule="auto"/>
              <w:jc w:val="both"/>
              <w:cnfStyle w:val="000000000000"/>
              <w:rPr>
                <w:rFonts w:ascii="Arial" w:hAnsi="Arial" w:cs="Arial"/>
                <w:lang w:val="es-ES_tradnl"/>
              </w:rPr>
            </w:pPr>
            <w:r w:rsidRPr="004C1685">
              <w:rPr>
                <w:rFonts w:ascii="Arial" w:hAnsi="Arial" w:cs="Arial"/>
                <w:lang w:val="es-ES_tradnl"/>
              </w:rPr>
              <w:t>Corredor Industrial de la Frontera Sur</w:t>
            </w:r>
            <w:r>
              <w:rPr>
                <w:rFonts w:ascii="Arial" w:hAnsi="Arial" w:cs="Arial"/>
                <w:lang w:val="es-ES_tradnl"/>
              </w:rPr>
              <w:t>.</w:t>
            </w:r>
          </w:p>
        </w:tc>
      </w:tr>
      <w:tr w:rsidR="00A00889" w:rsidTr="00A3014E">
        <w:trPr>
          <w:cnfStyle w:val="000000100000"/>
          <w:trHeight w:val="288"/>
        </w:trPr>
        <w:tc>
          <w:tcPr>
            <w:cnfStyle w:val="001000000000"/>
            <w:tcW w:w="2757" w:type="dxa"/>
          </w:tcPr>
          <w:p w:rsidR="00A00889" w:rsidRDefault="00A00889" w:rsidP="00A3014E">
            <w:pPr>
              <w:pStyle w:val="Sinespaciado"/>
              <w:spacing w:line="276" w:lineRule="auto"/>
              <w:jc w:val="center"/>
              <w:rPr>
                <w:rFonts w:ascii="Arial" w:hAnsi="Arial" w:cs="Arial"/>
                <w:sz w:val="20"/>
                <w:lang w:val="es-ES_tradnl"/>
              </w:rPr>
            </w:pPr>
          </w:p>
          <w:p w:rsidR="00CE744D" w:rsidRDefault="00CE744D" w:rsidP="00A3014E">
            <w:pPr>
              <w:pStyle w:val="Sinespaciado"/>
              <w:spacing w:line="276" w:lineRule="auto"/>
              <w:jc w:val="center"/>
              <w:rPr>
                <w:rFonts w:ascii="Arial" w:hAnsi="Arial" w:cs="Arial"/>
                <w:sz w:val="20"/>
                <w:lang w:val="es-ES_tradnl"/>
              </w:rPr>
            </w:pPr>
          </w:p>
          <w:p w:rsidR="00A00889" w:rsidRPr="00E23D8A" w:rsidRDefault="00A00889" w:rsidP="00A3014E">
            <w:pPr>
              <w:pStyle w:val="Sinespaciado"/>
              <w:spacing w:line="276" w:lineRule="auto"/>
              <w:jc w:val="center"/>
              <w:rPr>
                <w:rFonts w:ascii="Arial" w:hAnsi="Arial" w:cs="Arial"/>
                <w:sz w:val="20"/>
                <w:lang w:val="es-ES_tradnl"/>
              </w:rPr>
            </w:pPr>
            <w:r w:rsidRPr="00E23D8A">
              <w:rPr>
                <w:rFonts w:ascii="Arial" w:hAnsi="Arial" w:cs="Arial"/>
                <w:sz w:val="20"/>
                <w:lang w:val="es-ES_tradnl"/>
              </w:rPr>
              <w:t>LINEAS DE ACCIÓN</w:t>
            </w:r>
          </w:p>
        </w:tc>
        <w:tc>
          <w:tcPr>
            <w:tcW w:w="6282" w:type="dxa"/>
          </w:tcPr>
          <w:p w:rsidR="00E949A2" w:rsidRDefault="00E949A2" w:rsidP="00A3014E">
            <w:pPr>
              <w:pStyle w:val="Sinespaciado"/>
              <w:numPr>
                <w:ilvl w:val="0"/>
                <w:numId w:val="11"/>
              </w:numPr>
              <w:ind w:left="362" w:hanging="362"/>
              <w:jc w:val="both"/>
              <w:cnfStyle w:val="000000100000"/>
              <w:rPr>
                <w:rFonts w:ascii="Arial" w:hAnsi="Arial" w:cs="Arial"/>
                <w:lang w:val="es-ES_tradnl"/>
              </w:rPr>
            </w:pPr>
            <w:r>
              <w:rPr>
                <w:rFonts w:ascii="Arial" w:hAnsi="Arial" w:cs="Arial"/>
                <w:lang w:val="es-ES_tradnl"/>
              </w:rPr>
              <w:t xml:space="preserve">Compartir los resultados con los </w:t>
            </w:r>
            <w:r w:rsidRPr="0027109C">
              <w:rPr>
                <w:rFonts w:ascii="Arial" w:hAnsi="Arial" w:cs="Arial"/>
                <w:lang w:val="es-ES_tradnl"/>
              </w:rPr>
              <w:t xml:space="preserve">integrantes de las comisiones de Desarrollo Regional, Comercio Exterior, </w:t>
            </w:r>
            <w:r>
              <w:rPr>
                <w:rFonts w:ascii="Arial" w:hAnsi="Arial" w:cs="Arial"/>
                <w:lang w:val="es-ES_tradnl"/>
              </w:rPr>
              <w:t>Asuntos Migratorios y Recintos Fiscalizados Estratégicos, de la CONAGO, para sumar esfuerzos que permitan concretarlo.</w:t>
            </w:r>
          </w:p>
          <w:p w:rsidR="00A00889" w:rsidRDefault="00A00889" w:rsidP="00A3014E">
            <w:pPr>
              <w:pStyle w:val="Sinespaciado"/>
              <w:numPr>
                <w:ilvl w:val="0"/>
                <w:numId w:val="11"/>
              </w:numPr>
              <w:ind w:left="362" w:hanging="362"/>
              <w:jc w:val="both"/>
              <w:cnfStyle w:val="000000100000"/>
              <w:rPr>
                <w:rFonts w:ascii="Arial" w:hAnsi="Arial" w:cs="Arial"/>
                <w:lang w:val="es-ES_tradnl"/>
              </w:rPr>
            </w:pPr>
            <w:r>
              <w:rPr>
                <w:rFonts w:ascii="Arial" w:hAnsi="Arial" w:cs="Arial"/>
                <w:lang w:val="es-ES_tradnl"/>
              </w:rPr>
              <w:t>Solicitar a la instancia correspondiente, el estatus del estudio de factibilidad y tiempo de conclusión.</w:t>
            </w:r>
          </w:p>
          <w:p w:rsidR="00A00889" w:rsidRDefault="00A00889" w:rsidP="00A3014E">
            <w:pPr>
              <w:pStyle w:val="Sinespaciado"/>
              <w:numPr>
                <w:ilvl w:val="0"/>
                <w:numId w:val="11"/>
              </w:numPr>
              <w:ind w:left="362" w:hanging="362"/>
              <w:jc w:val="both"/>
              <w:cnfStyle w:val="000000100000"/>
              <w:rPr>
                <w:rFonts w:ascii="Arial" w:hAnsi="Arial" w:cs="Arial"/>
                <w:lang w:val="es-ES_tradnl"/>
              </w:rPr>
            </w:pPr>
            <w:r>
              <w:rPr>
                <w:rFonts w:ascii="Arial" w:hAnsi="Arial" w:cs="Arial"/>
                <w:lang w:val="es-ES_tradnl"/>
              </w:rPr>
              <w:t>Solicitar a FIDESUR la elaboración del proyecto ejecutivo y su inclusión en la cartera de proyectos de la Secretaría de Hacienda.</w:t>
            </w:r>
          </w:p>
          <w:p w:rsidR="00A00889" w:rsidRDefault="00A00889" w:rsidP="00A3014E">
            <w:pPr>
              <w:pStyle w:val="Sinespaciado"/>
              <w:numPr>
                <w:ilvl w:val="0"/>
                <w:numId w:val="11"/>
              </w:numPr>
              <w:ind w:left="362" w:hanging="362"/>
              <w:jc w:val="both"/>
              <w:cnfStyle w:val="000000100000"/>
              <w:rPr>
                <w:rFonts w:ascii="Arial" w:hAnsi="Arial" w:cs="Arial"/>
                <w:lang w:val="es-ES_tradnl"/>
              </w:rPr>
            </w:pPr>
            <w:r>
              <w:rPr>
                <w:rFonts w:ascii="Arial" w:hAnsi="Arial" w:cs="Arial"/>
                <w:lang w:val="es-ES_tradnl"/>
              </w:rPr>
              <w:t>Gestionar ante diputados federales la asignación de recursos multianuales a partir del PEF 2011, por lo menos, para concretar la primera etapa del proyecto.</w:t>
            </w:r>
          </w:p>
          <w:p w:rsidR="00A00889" w:rsidRPr="003D208C" w:rsidRDefault="00A00889" w:rsidP="00A3014E">
            <w:pPr>
              <w:pStyle w:val="Sinespaciado"/>
              <w:jc w:val="both"/>
              <w:cnfStyle w:val="000000100000"/>
              <w:rPr>
                <w:rFonts w:ascii="Arial" w:hAnsi="Arial" w:cs="Arial"/>
                <w:lang w:val="es-ES_tradnl"/>
              </w:rPr>
            </w:pPr>
          </w:p>
        </w:tc>
      </w:tr>
      <w:tr w:rsidR="00A00889" w:rsidTr="00A3014E">
        <w:trPr>
          <w:trHeight w:val="288"/>
        </w:trPr>
        <w:tc>
          <w:tcPr>
            <w:cnfStyle w:val="001000000000"/>
            <w:tcW w:w="2757" w:type="dxa"/>
          </w:tcPr>
          <w:p w:rsidR="00A00889" w:rsidRDefault="00A00889" w:rsidP="00A3014E">
            <w:pPr>
              <w:pStyle w:val="Sinespaciado"/>
              <w:spacing w:line="276" w:lineRule="auto"/>
              <w:jc w:val="center"/>
              <w:rPr>
                <w:rFonts w:ascii="Arial" w:hAnsi="Arial" w:cs="Arial"/>
                <w:sz w:val="20"/>
                <w:lang w:val="es-ES_tradnl"/>
              </w:rPr>
            </w:pPr>
            <w:r>
              <w:rPr>
                <w:rFonts w:ascii="Arial" w:hAnsi="Arial" w:cs="Arial"/>
                <w:sz w:val="20"/>
                <w:lang w:val="es-ES_tradnl"/>
              </w:rPr>
              <w:t>IMPACTO/BENEFICIO</w:t>
            </w:r>
          </w:p>
        </w:tc>
        <w:tc>
          <w:tcPr>
            <w:tcW w:w="6282" w:type="dxa"/>
          </w:tcPr>
          <w:p w:rsidR="00A00889" w:rsidRDefault="00A00889" w:rsidP="00A3014E">
            <w:pPr>
              <w:pStyle w:val="Sinespaciado"/>
              <w:ind w:left="220"/>
              <w:jc w:val="both"/>
              <w:cnfStyle w:val="000000000000"/>
              <w:rPr>
                <w:rFonts w:ascii="Arial" w:hAnsi="Arial" w:cs="Arial"/>
                <w:lang w:val="es-ES_tradnl"/>
              </w:rPr>
            </w:pPr>
            <w:r>
              <w:rPr>
                <w:rFonts w:ascii="Arial" w:hAnsi="Arial" w:cs="Arial"/>
                <w:lang w:val="es-ES_tradnl"/>
              </w:rPr>
              <w:t>Estados fronterizos (Chiapas, Quintana Roo y Tabasco) y las demás entidades que amortiguan los problem</w:t>
            </w:r>
            <w:r w:rsidR="00E949A2">
              <w:rPr>
                <w:rFonts w:ascii="Arial" w:hAnsi="Arial" w:cs="Arial"/>
                <w:lang w:val="es-ES_tradnl"/>
              </w:rPr>
              <w:t xml:space="preserve">as de migración, delincuencia, </w:t>
            </w:r>
            <w:r>
              <w:rPr>
                <w:rFonts w:ascii="Arial" w:hAnsi="Arial" w:cs="Arial"/>
                <w:lang w:val="es-ES_tradnl"/>
              </w:rPr>
              <w:t xml:space="preserve">tráfico de personas y mercancías. </w:t>
            </w:r>
          </w:p>
        </w:tc>
      </w:tr>
    </w:tbl>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A00889" w:rsidRDefault="00A0088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A00889" w:rsidRDefault="00A00889"/>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pStyle w:val="Sinespaciado"/>
        <w:spacing w:line="276" w:lineRule="auto"/>
        <w:jc w:val="both"/>
        <w:rPr>
          <w:rFonts w:ascii="Arial" w:hAnsi="Arial" w:cs="Arial"/>
        </w:rPr>
      </w:pPr>
    </w:p>
    <w:p w:rsidR="00430F09" w:rsidRDefault="00430F09" w:rsidP="00430F09">
      <w:pPr>
        <w:rPr>
          <w:rFonts w:ascii="Arial" w:hAnsi="Arial" w:cs="Arial"/>
          <w:lang w:val="es-ES_tradnl"/>
        </w:rPr>
      </w:pPr>
    </w:p>
    <w:p w:rsidR="00430F09" w:rsidRPr="004C1685" w:rsidRDefault="00430F09" w:rsidP="00430F09">
      <w:pPr>
        <w:rPr>
          <w:rFonts w:ascii="Arial" w:hAnsi="Arial" w:cs="Arial"/>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tbl>
      <w:tblPr>
        <w:tblStyle w:val="Cuadrculamedia3-nfasis2"/>
        <w:tblpPr w:leftFromText="141" w:rightFromText="141" w:vertAnchor="text" w:horzAnchor="margin" w:tblpXSpec="center" w:tblpY="25"/>
        <w:tblW w:w="0" w:type="auto"/>
        <w:tblLook w:val="04A0"/>
      </w:tblPr>
      <w:tblGrid>
        <w:gridCol w:w="2693"/>
        <w:gridCol w:w="6204"/>
      </w:tblGrid>
      <w:tr w:rsidR="00430F09" w:rsidTr="00430F09">
        <w:trPr>
          <w:cnfStyle w:val="100000000000"/>
        </w:trPr>
        <w:tc>
          <w:tcPr>
            <w:cnfStyle w:val="001000000000"/>
            <w:tcW w:w="2693" w:type="dxa"/>
          </w:tcPr>
          <w:p w:rsidR="00430F09" w:rsidRPr="0034272D" w:rsidRDefault="00430F09" w:rsidP="00430F09">
            <w:pPr>
              <w:jc w:val="center"/>
              <w:rPr>
                <w:rFonts w:ascii="Arial" w:hAnsi="Arial" w:cs="Arial"/>
                <w:color w:val="FFFFFF"/>
                <w:sz w:val="12"/>
              </w:rPr>
            </w:pPr>
            <w:r>
              <w:rPr>
                <w:rFonts w:ascii="Arial" w:hAnsi="Arial" w:cs="Arial"/>
                <w:color w:val="FFFFFF"/>
                <w:sz w:val="20"/>
              </w:rPr>
              <w:t>EJE 3</w:t>
            </w:r>
          </w:p>
        </w:tc>
        <w:tc>
          <w:tcPr>
            <w:tcW w:w="6204" w:type="dxa"/>
          </w:tcPr>
          <w:p w:rsidR="00430F09" w:rsidRDefault="00430F09" w:rsidP="00430F09">
            <w:pPr>
              <w:cnfStyle w:val="100000000000"/>
              <w:rPr>
                <w:rFonts w:ascii="Arial" w:hAnsi="Arial" w:cs="Arial"/>
              </w:rPr>
            </w:pPr>
            <w:r>
              <w:rPr>
                <w:rFonts w:ascii="Arial" w:hAnsi="Arial" w:cs="Arial"/>
              </w:rPr>
              <w:t>Infraestructura estratégica de comunicación multimodal</w:t>
            </w:r>
          </w:p>
        </w:tc>
      </w:tr>
      <w:tr w:rsidR="00430F09" w:rsidTr="00430F09">
        <w:trPr>
          <w:cnfStyle w:val="000000100000"/>
        </w:trPr>
        <w:tc>
          <w:tcPr>
            <w:cnfStyle w:val="001000000000"/>
            <w:tcW w:w="2693" w:type="dxa"/>
          </w:tcPr>
          <w:p w:rsidR="00430F09" w:rsidRDefault="00430F09" w:rsidP="00430F09">
            <w:pPr>
              <w:jc w:val="center"/>
              <w:rPr>
                <w:rFonts w:ascii="Arial" w:hAnsi="Arial" w:cs="Arial"/>
                <w:color w:val="FFFFFF"/>
                <w:sz w:val="20"/>
              </w:rPr>
            </w:pPr>
          </w:p>
          <w:p w:rsidR="00430F09" w:rsidRPr="0034272D" w:rsidRDefault="00430F09" w:rsidP="00430F09">
            <w:pPr>
              <w:jc w:val="center"/>
              <w:rPr>
                <w:rFonts w:ascii="Arial" w:hAnsi="Arial" w:cs="Arial"/>
                <w:color w:val="FFFFFF"/>
                <w:sz w:val="12"/>
              </w:rPr>
            </w:pPr>
            <w:r>
              <w:rPr>
                <w:rFonts w:ascii="Arial" w:hAnsi="Arial" w:cs="Arial"/>
                <w:color w:val="FFFFFF"/>
                <w:sz w:val="20"/>
              </w:rPr>
              <w:t>OBJETIVO</w:t>
            </w:r>
          </w:p>
        </w:tc>
        <w:tc>
          <w:tcPr>
            <w:tcW w:w="6204" w:type="dxa"/>
          </w:tcPr>
          <w:p w:rsidR="00430F09" w:rsidRDefault="00430F09" w:rsidP="00430F09">
            <w:pPr>
              <w:jc w:val="both"/>
              <w:cnfStyle w:val="000000100000"/>
              <w:rPr>
                <w:rFonts w:ascii="Arial" w:hAnsi="Arial" w:cs="Arial"/>
              </w:rPr>
            </w:pPr>
            <w:r>
              <w:rPr>
                <w:rFonts w:ascii="Arial" w:hAnsi="Arial" w:cs="Arial"/>
              </w:rPr>
              <w:t xml:space="preserve">Gestionar recursos para consolidar el sistema multimodal de comunicaciones de la región, en el marco de los programas </w:t>
            </w:r>
            <w:r>
              <w:rPr>
                <w:rFonts w:ascii="Arial" w:hAnsi="Arial" w:cs="Arial"/>
                <w:lang w:val="es-ES_tradnl"/>
              </w:rPr>
              <w:t>Estratégico de Infraestructura Sur Sureste y de Infraestructura y Logística de Transporte.</w:t>
            </w:r>
          </w:p>
        </w:tc>
      </w:tr>
      <w:tr w:rsidR="00430F09" w:rsidTr="00430F09">
        <w:tc>
          <w:tcPr>
            <w:cnfStyle w:val="001000000000"/>
            <w:tcW w:w="2693" w:type="dxa"/>
          </w:tcPr>
          <w:p w:rsidR="00430F09" w:rsidRPr="0034272D" w:rsidRDefault="00430F09" w:rsidP="00430F09">
            <w:pPr>
              <w:jc w:val="center"/>
              <w:rPr>
                <w:rFonts w:ascii="Arial" w:hAnsi="Arial" w:cs="Arial"/>
                <w:color w:val="FFFFFF"/>
                <w:sz w:val="12"/>
              </w:rPr>
            </w:pPr>
          </w:p>
          <w:p w:rsidR="00430F09" w:rsidRPr="0034272D" w:rsidRDefault="00430F09" w:rsidP="00430F09">
            <w:pPr>
              <w:jc w:val="center"/>
              <w:rPr>
                <w:rFonts w:ascii="Arial" w:hAnsi="Arial" w:cs="Arial"/>
                <w:b w:val="0"/>
                <w:sz w:val="20"/>
                <w:lang w:val="es-ES_tradnl"/>
              </w:rPr>
            </w:pPr>
            <w:r w:rsidRPr="00DC4295">
              <w:rPr>
                <w:rFonts w:ascii="Arial" w:hAnsi="Arial" w:cs="Arial"/>
                <w:color w:val="FFFFFF"/>
                <w:sz w:val="20"/>
              </w:rPr>
              <w:t>PROYECTO</w:t>
            </w:r>
            <w:r w:rsidRPr="0034272D">
              <w:rPr>
                <w:rFonts w:ascii="Arial" w:hAnsi="Arial" w:cs="Arial"/>
                <w:color w:val="FFFFFF"/>
                <w:sz w:val="20"/>
              </w:rPr>
              <w:t>S</w:t>
            </w:r>
          </w:p>
        </w:tc>
        <w:tc>
          <w:tcPr>
            <w:tcW w:w="6204" w:type="dxa"/>
          </w:tcPr>
          <w:p w:rsidR="00430F09" w:rsidRDefault="00430F09" w:rsidP="00430F09">
            <w:pPr>
              <w:cnfStyle w:val="000000000000"/>
              <w:rPr>
                <w:rFonts w:ascii="Arial" w:hAnsi="Arial" w:cs="Arial"/>
                <w:lang w:val="es-ES_tradnl"/>
              </w:rPr>
            </w:pPr>
            <w:r>
              <w:rPr>
                <w:rFonts w:ascii="Arial" w:hAnsi="Arial" w:cs="Arial"/>
                <w:lang w:val="es-ES_tradnl"/>
              </w:rPr>
              <w:t xml:space="preserve">Sistema Logístico para el Desarrollo Regional del </w:t>
            </w:r>
            <w:r>
              <w:t xml:space="preserve"> </w:t>
            </w:r>
            <w:r w:rsidRPr="00C31302">
              <w:rPr>
                <w:rFonts w:ascii="Arial" w:hAnsi="Arial" w:cs="Arial"/>
                <w:lang w:val="es-ES_tradnl"/>
              </w:rPr>
              <w:t>Istmo de Tehuantepec</w:t>
            </w:r>
            <w:r>
              <w:rPr>
                <w:rFonts w:ascii="Arial" w:hAnsi="Arial" w:cs="Arial"/>
                <w:lang w:val="es-ES_tradnl"/>
              </w:rPr>
              <w:t>.</w:t>
            </w:r>
          </w:p>
          <w:p w:rsidR="00430F09" w:rsidRDefault="00430F09" w:rsidP="00430F09">
            <w:pPr>
              <w:cnfStyle w:val="000000000000"/>
              <w:rPr>
                <w:rFonts w:ascii="Arial" w:hAnsi="Arial" w:cs="Arial"/>
                <w:lang w:val="es-ES_tradnl"/>
              </w:rPr>
            </w:pPr>
            <w:r w:rsidRPr="004C1685">
              <w:rPr>
                <w:rFonts w:ascii="Arial" w:hAnsi="Arial" w:cs="Arial"/>
                <w:lang w:val="es-ES_tradnl"/>
              </w:rPr>
              <w:t>Ferro</w:t>
            </w:r>
            <w:r>
              <w:rPr>
                <w:rFonts w:ascii="Arial" w:hAnsi="Arial" w:cs="Arial"/>
                <w:lang w:val="es-ES_tradnl"/>
              </w:rPr>
              <w:t xml:space="preserve">carril Estación </w:t>
            </w:r>
            <w:proofErr w:type="spellStart"/>
            <w:r>
              <w:rPr>
                <w:rFonts w:ascii="Arial" w:hAnsi="Arial" w:cs="Arial"/>
                <w:lang w:val="es-ES_tradnl"/>
              </w:rPr>
              <w:t>Chontalpa</w:t>
            </w:r>
            <w:proofErr w:type="spellEnd"/>
            <w:r>
              <w:rPr>
                <w:rFonts w:ascii="Arial" w:hAnsi="Arial" w:cs="Arial"/>
                <w:lang w:val="es-ES_tradnl"/>
              </w:rPr>
              <w:t>- Dos B</w:t>
            </w:r>
            <w:r w:rsidRPr="004C1685">
              <w:rPr>
                <w:rFonts w:ascii="Arial" w:hAnsi="Arial" w:cs="Arial"/>
                <w:lang w:val="es-ES_tradnl"/>
              </w:rPr>
              <w:t>ocas</w:t>
            </w:r>
            <w:r>
              <w:rPr>
                <w:rFonts w:ascii="Arial" w:hAnsi="Arial" w:cs="Arial"/>
                <w:lang w:val="es-ES_tradnl"/>
              </w:rPr>
              <w:t>.</w:t>
            </w:r>
          </w:p>
          <w:p w:rsidR="00430F09" w:rsidRPr="004C1685" w:rsidRDefault="00430F09" w:rsidP="00430F09">
            <w:pPr>
              <w:cnfStyle w:val="000000000000"/>
              <w:rPr>
                <w:rFonts w:ascii="Arial" w:hAnsi="Arial" w:cs="Arial"/>
                <w:lang w:val="es-ES_tradnl"/>
              </w:rPr>
            </w:pPr>
            <w:r>
              <w:rPr>
                <w:rFonts w:ascii="Arial" w:hAnsi="Arial" w:cs="Arial"/>
                <w:lang w:val="es-ES_tradnl"/>
              </w:rPr>
              <w:t>Corredor Carretero Costa del Pacifico (Corredor No.15)</w:t>
            </w:r>
            <w:r w:rsidR="00E949A2">
              <w:rPr>
                <w:rFonts w:ascii="Arial" w:hAnsi="Arial" w:cs="Arial"/>
                <w:lang w:val="es-ES_tradnl"/>
              </w:rPr>
              <w:t>.</w:t>
            </w:r>
          </w:p>
        </w:tc>
      </w:tr>
      <w:tr w:rsidR="00430F09" w:rsidTr="00430F09">
        <w:trPr>
          <w:cnfStyle w:val="000000100000"/>
        </w:trPr>
        <w:tc>
          <w:tcPr>
            <w:cnfStyle w:val="001000000000"/>
            <w:tcW w:w="2693" w:type="dxa"/>
          </w:tcPr>
          <w:p w:rsidR="00430F09" w:rsidRPr="00A940EB" w:rsidRDefault="00430F09" w:rsidP="00430F09">
            <w:pPr>
              <w:jc w:val="center"/>
              <w:rPr>
                <w:rFonts w:ascii="Arial" w:hAnsi="Arial" w:cs="Arial"/>
                <w:color w:val="FFFFFF"/>
                <w:sz w:val="18"/>
              </w:rPr>
            </w:pPr>
          </w:p>
          <w:p w:rsidR="00430F09" w:rsidRPr="00A940EB" w:rsidRDefault="00430F09" w:rsidP="00430F09">
            <w:pPr>
              <w:jc w:val="center"/>
              <w:rPr>
                <w:rFonts w:ascii="Arial" w:hAnsi="Arial" w:cs="Arial"/>
                <w:color w:val="FFFFFF"/>
                <w:sz w:val="18"/>
              </w:rPr>
            </w:pPr>
          </w:p>
          <w:p w:rsidR="00430F09" w:rsidRPr="00A940EB" w:rsidRDefault="00430F09" w:rsidP="00430F09">
            <w:pPr>
              <w:jc w:val="center"/>
              <w:rPr>
                <w:rFonts w:ascii="Arial" w:hAnsi="Arial" w:cs="Arial"/>
                <w:color w:val="FFFFFF"/>
                <w:sz w:val="18"/>
              </w:rPr>
            </w:pPr>
          </w:p>
          <w:p w:rsidR="00430F09" w:rsidRPr="0034272D" w:rsidRDefault="00430F09" w:rsidP="00430F09">
            <w:pPr>
              <w:jc w:val="center"/>
              <w:rPr>
                <w:rFonts w:ascii="Arial" w:hAnsi="Arial" w:cs="Arial"/>
                <w:b w:val="0"/>
                <w:sz w:val="20"/>
                <w:lang w:val="es-ES_tradnl"/>
              </w:rPr>
            </w:pPr>
            <w:r w:rsidRPr="00DC4295">
              <w:rPr>
                <w:rFonts w:ascii="Arial" w:hAnsi="Arial" w:cs="Arial"/>
                <w:color w:val="FFFFFF"/>
                <w:sz w:val="20"/>
              </w:rPr>
              <w:t>LINEAS DE ACCION</w:t>
            </w:r>
          </w:p>
        </w:tc>
        <w:tc>
          <w:tcPr>
            <w:tcW w:w="6204" w:type="dxa"/>
          </w:tcPr>
          <w:p w:rsidR="000A21B5" w:rsidRDefault="000A21B5" w:rsidP="000A21B5">
            <w:pPr>
              <w:pStyle w:val="Prrafodelista"/>
              <w:numPr>
                <w:ilvl w:val="0"/>
                <w:numId w:val="12"/>
              </w:numPr>
              <w:ind w:left="426" w:hanging="425"/>
              <w:jc w:val="both"/>
              <w:cnfStyle w:val="000000100000"/>
              <w:rPr>
                <w:rFonts w:ascii="Arial" w:hAnsi="Arial" w:cs="Arial"/>
                <w:lang w:val="es-ES_tradnl"/>
              </w:rPr>
            </w:pPr>
            <w:r w:rsidRPr="006B4D13">
              <w:rPr>
                <w:rFonts w:ascii="Arial" w:hAnsi="Arial" w:cs="Arial"/>
                <w:lang w:val="es-ES_tradnl"/>
              </w:rPr>
              <w:t>Reunión con integrantes de las Comisiones de</w:t>
            </w:r>
            <w:r>
              <w:rPr>
                <w:rFonts w:ascii="Arial" w:hAnsi="Arial" w:cs="Arial"/>
                <w:lang w:val="es-ES_tradnl"/>
              </w:rPr>
              <w:t xml:space="preserve"> I</w:t>
            </w:r>
            <w:r w:rsidRPr="006B4D13">
              <w:rPr>
                <w:rFonts w:ascii="Arial" w:hAnsi="Arial" w:cs="Arial"/>
                <w:lang w:val="es-ES_tradnl"/>
              </w:rPr>
              <w:t>nfraestructura</w:t>
            </w:r>
            <w:r>
              <w:rPr>
                <w:rFonts w:ascii="Arial" w:hAnsi="Arial" w:cs="Arial"/>
                <w:lang w:val="es-ES_tradnl"/>
              </w:rPr>
              <w:t xml:space="preserve"> e I</w:t>
            </w:r>
            <w:r w:rsidRPr="006B4D13">
              <w:rPr>
                <w:rFonts w:ascii="Arial" w:hAnsi="Arial" w:cs="Arial"/>
                <w:lang w:val="es-ES_tradnl"/>
              </w:rPr>
              <w:t>mp</w:t>
            </w:r>
            <w:r>
              <w:rPr>
                <w:rFonts w:ascii="Arial" w:hAnsi="Arial" w:cs="Arial"/>
                <w:lang w:val="es-ES_tradnl"/>
              </w:rPr>
              <w:t>actos de la Industria Petrolera para incluirlo en su cartera de proyectos prioritarios y sumar esfuerzos para concretarlos.</w:t>
            </w:r>
          </w:p>
          <w:p w:rsidR="00E949A2" w:rsidRDefault="00430F09" w:rsidP="00E949A2">
            <w:pPr>
              <w:pStyle w:val="Prrafodelista"/>
              <w:numPr>
                <w:ilvl w:val="0"/>
                <w:numId w:val="12"/>
              </w:numPr>
              <w:ind w:left="362" w:hanging="425"/>
              <w:jc w:val="both"/>
              <w:cnfStyle w:val="000000100000"/>
              <w:rPr>
                <w:rFonts w:ascii="Arial" w:hAnsi="Arial" w:cs="Arial"/>
                <w:lang w:val="es-ES_tradnl"/>
              </w:rPr>
            </w:pPr>
            <w:r w:rsidRPr="00F77E68">
              <w:rPr>
                <w:rFonts w:ascii="Arial" w:hAnsi="Arial" w:cs="Arial"/>
                <w:lang w:val="es-ES_tradnl"/>
              </w:rPr>
              <w:t xml:space="preserve">Reunión con el Secretario de Comunicaciones y Transportes para retomar los proyectos y ampliar la concesión del </w:t>
            </w:r>
            <w:r w:rsidR="00E949A2">
              <w:rPr>
                <w:rFonts w:ascii="Arial" w:hAnsi="Arial" w:cs="Arial"/>
                <w:lang w:val="es-ES_tradnl"/>
              </w:rPr>
              <w:t>ferrocarril Chiapas-</w:t>
            </w:r>
            <w:proofErr w:type="spellStart"/>
            <w:r w:rsidR="00E949A2">
              <w:rPr>
                <w:rFonts w:ascii="Arial" w:hAnsi="Arial" w:cs="Arial"/>
                <w:lang w:val="es-ES_tradnl"/>
              </w:rPr>
              <w:t>Mayab</w:t>
            </w:r>
            <w:proofErr w:type="spellEnd"/>
            <w:r w:rsidR="00E949A2">
              <w:rPr>
                <w:rFonts w:ascii="Arial" w:hAnsi="Arial" w:cs="Arial"/>
                <w:lang w:val="es-ES_tradnl"/>
              </w:rPr>
              <w:t xml:space="preserve"> para hacer realidad</w:t>
            </w:r>
            <w:r w:rsidRPr="00F77E68">
              <w:rPr>
                <w:rFonts w:ascii="Arial" w:hAnsi="Arial" w:cs="Arial"/>
                <w:lang w:val="es-ES_tradnl"/>
              </w:rPr>
              <w:t xml:space="preserve"> el</w:t>
            </w:r>
            <w:r w:rsidR="00E949A2">
              <w:rPr>
                <w:rFonts w:ascii="Arial" w:hAnsi="Arial" w:cs="Arial"/>
                <w:lang w:val="es-ES_tradnl"/>
              </w:rPr>
              <w:t xml:space="preserve"> servicio de carga y transporte, así como para integrar el proyecto del Corredor del Pacifico en su agenda de trabajo y contar así con los recursos necesarios para concretarlo.</w:t>
            </w:r>
          </w:p>
          <w:p w:rsidR="00430F09" w:rsidRPr="006B4D13" w:rsidRDefault="00430F09" w:rsidP="00430F09">
            <w:pPr>
              <w:pStyle w:val="Prrafodelista"/>
              <w:numPr>
                <w:ilvl w:val="0"/>
                <w:numId w:val="12"/>
              </w:numPr>
              <w:ind w:left="426" w:hanging="425"/>
              <w:jc w:val="both"/>
              <w:cnfStyle w:val="000000100000"/>
              <w:rPr>
                <w:rFonts w:ascii="Arial" w:hAnsi="Arial" w:cs="Arial"/>
                <w:lang w:val="es-ES_tradnl"/>
              </w:rPr>
            </w:pPr>
            <w:r w:rsidRPr="006B4D13">
              <w:rPr>
                <w:rFonts w:ascii="Arial" w:hAnsi="Arial" w:cs="Arial"/>
                <w:lang w:val="es-ES_tradnl"/>
              </w:rPr>
              <w:t>Gestionar ante diputados federales la asignación de recursos multianuales a partir del PEF 2011, por lo menos, para dar continuidad a los proyectos.</w:t>
            </w:r>
          </w:p>
          <w:p w:rsidR="00430F09" w:rsidRPr="00F77E68" w:rsidRDefault="00430F09" w:rsidP="00430F09">
            <w:pPr>
              <w:pStyle w:val="Prrafodelista"/>
              <w:numPr>
                <w:ilvl w:val="0"/>
                <w:numId w:val="12"/>
              </w:numPr>
              <w:ind w:left="426" w:hanging="425"/>
              <w:jc w:val="both"/>
              <w:cnfStyle w:val="000000100000"/>
              <w:rPr>
                <w:rFonts w:ascii="Arial" w:hAnsi="Arial" w:cs="Arial"/>
                <w:lang w:val="es-ES_tradnl"/>
              </w:rPr>
            </w:pPr>
            <w:r w:rsidRPr="00F77E68">
              <w:rPr>
                <w:rFonts w:ascii="Arial" w:hAnsi="Arial" w:cs="Arial"/>
                <w:lang w:val="es-ES_tradnl"/>
              </w:rPr>
              <w:t xml:space="preserve">Gestionar recursos adicionales con empresas paraestatales que se beneficiarán directamente al irse concretando diversas obras contempladas en </w:t>
            </w:r>
            <w:r w:rsidR="00E949A2">
              <w:rPr>
                <w:rFonts w:ascii="Arial" w:hAnsi="Arial" w:cs="Arial"/>
                <w:lang w:val="es-ES_tradnl"/>
              </w:rPr>
              <w:t>los</w:t>
            </w:r>
            <w:r w:rsidRPr="00F77E68">
              <w:rPr>
                <w:rFonts w:ascii="Arial" w:hAnsi="Arial" w:cs="Arial"/>
                <w:lang w:val="es-ES_tradnl"/>
              </w:rPr>
              <w:t xml:space="preserve"> proyectos</w:t>
            </w:r>
            <w:r w:rsidR="00E949A2">
              <w:rPr>
                <w:rFonts w:ascii="Arial" w:hAnsi="Arial" w:cs="Arial"/>
                <w:lang w:val="es-ES_tradnl"/>
              </w:rPr>
              <w:t xml:space="preserve"> referidos</w:t>
            </w:r>
            <w:r w:rsidRPr="00F77E68">
              <w:rPr>
                <w:rFonts w:ascii="Arial" w:hAnsi="Arial" w:cs="Arial"/>
                <w:lang w:val="es-ES_tradnl"/>
              </w:rPr>
              <w:t>, comenzando por</w:t>
            </w:r>
            <w:r>
              <w:rPr>
                <w:rFonts w:ascii="Arial" w:hAnsi="Arial" w:cs="Arial"/>
                <w:lang w:val="es-ES_tradnl"/>
              </w:rPr>
              <w:t xml:space="preserve"> una reunión ejecutiva de la Comisión con los titulares de la</w:t>
            </w:r>
            <w:r w:rsidRPr="00F77E68">
              <w:rPr>
                <w:rFonts w:ascii="Arial" w:hAnsi="Arial" w:cs="Arial"/>
                <w:lang w:val="es-ES_tradnl"/>
              </w:rPr>
              <w:t xml:space="preserve"> Secretaria de Energía, </w:t>
            </w:r>
            <w:r>
              <w:rPr>
                <w:rFonts w:ascii="Arial" w:hAnsi="Arial" w:cs="Arial"/>
                <w:lang w:val="es-ES_tradnl"/>
              </w:rPr>
              <w:t>PEMEX y C.F.E</w:t>
            </w:r>
            <w:r w:rsidRPr="00F77E68">
              <w:rPr>
                <w:rFonts w:ascii="Arial" w:hAnsi="Arial" w:cs="Arial"/>
                <w:lang w:val="es-ES_tradnl"/>
              </w:rPr>
              <w:t>.</w:t>
            </w:r>
          </w:p>
          <w:p w:rsidR="00430F09" w:rsidRPr="009A3819" w:rsidRDefault="00430F09" w:rsidP="00E05E36">
            <w:pPr>
              <w:pStyle w:val="Prrafodelista"/>
              <w:ind w:left="426"/>
              <w:jc w:val="both"/>
              <w:cnfStyle w:val="000000100000"/>
              <w:rPr>
                <w:rFonts w:ascii="Arial" w:hAnsi="Arial" w:cs="Arial"/>
                <w:lang w:val="es-ES_tradnl"/>
              </w:rPr>
            </w:pPr>
          </w:p>
        </w:tc>
      </w:tr>
      <w:tr w:rsidR="00430F09" w:rsidTr="00430F09">
        <w:tc>
          <w:tcPr>
            <w:cnfStyle w:val="001000000000"/>
            <w:tcW w:w="2693" w:type="dxa"/>
          </w:tcPr>
          <w:p w:rsidR="00430F09" w:rsidRPr="00A940EB" w:rsidRDefault="00430F09" w:rsidP="00430F09">
            <w:pPr>
              <w:jc w:val="center"/>
              <w:rPr>
                <w:rFonts w:ascii="Arial" w:hAnsi="Arial" w:cs="Arial"/>
                <w:color w:val="FFFFFF"/>
                <w:sz w:val="18"/>
              </w:rPr>
            </w:pPr>
            <w:r w:rsidRPr="002742AC">
              <w:rPr>
                <w:rFonts w:ascii="Arial" w:hAnsi="Arial" w:cs="Arial"/>
                <w:color w:val="FFFFFF"/>
                <w:sz w:val="20"/>
              </w:rPr>
              <w:t>IMPACTO/BENEFICIO</w:t>
            </w:r>
          </w:p>
        </w:tc>
        <w:tc>
          <w:tcPr>
            <w:tcW w:w="6204" w:type="dxa"/>
          </w:tcPr>
          <w:p w:rsidR="00430F09" w:rsidRPr="00604E55" w:rsidRDefault="00430F09" w:rsidP="00430F09">
            <w:pPr>
              <w:jc w:val="both"/>
              <w:cnfStyle w:val="000000000000"/>
              <w:rPr>
                <w:rFonts w:ascii="Arial" w:hAnsi="Arial" w:cs="Arial"/>
                <w:lang w:val="es-ES_tradnl"/>
              </w:rPr>
            </w:pPr>
            <w:r>
              <w:rPr>
                <w:rFonts w:ascii="Arial" w:hAnsi="Arial" w:cs="Arial"/>
                <w:lang w:val="es-ES_tradnl"/>
              </w:rPr>
              <w:t xml:space="preserve">Directo: Michoacán, </w:t>
            </w:r>
            <w:r w:rsidRPr="00604E55">
              <w:rPr>
                <w:rFonts w:ascii="Arial" w:hAnsi="Arial" w:cs="Arial"/>
                <w:lang w:val="es-ES_tradnl"/>
              </w:rPr>
              <w:t>Ch</w:t>
            </w:r>
            <w:r>
              <w:rPr>
                <w:rFonts w:ascii="Arial" w:hAnsi="Arial" w:cs="Arial"/>
                <w:lang w:val="es-ES_tradnl"/>
              </w:rPr>
              <w:t xml:space="preserve">iapas, Guerrero, Oaxaca, Veracruz y  Tabasco. Indirecto: toda la región. </w:t>
            </w:r>
          </w:p>
        </w:tc>
      </w:tr>
    </w:tbl>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tbl>
      <w:tblPr>
        <w:tblStyle w:val="Cuadrculamedia3-nfasis2"/>
        <w:tblpPr w:leftFromText="141" w:rightFromText="141" w:vertAnchor="text" w:horzAnchor="margin" w:tblpXSpec="center" w:tblpY="413"/>
        <w:tblW w:w="0" w:type="auto"/>
        <w:tblLook w:val="04A0"/>
      </w:tblPr>
      <w:tblGrid>
        <w:gridCol w:w="2693"/>
        <w:gridCol w:w="6204"/>
      </w:tblGrid>
      <w:tr w:rsidR="00664563" w:rsidTr="00664563">
        <w:trPr>
          <w:cnfStyle w:val="100000000000"/>
        </w:trPr>
        <w:tc>
          <w:tcPr>
            <w:cnfStyle w:val="001000000000"/>
            <w:tcW w:w="2693" w:type="dxa"/>
          </w:tcPr>
          <w:p w:rsidR="00664563" w:rsidRPr="00CE744D" w:rsidRDefault="00664563" w:rsidP="00664563">
            <w:pPr>
              <w:jc w:val="center"/>
              <w:rPr>
                <w:rFonts w:ascii="Arial" w:hAnsi="Arial" w:cs="Arial"/>
                <w:sz w:val="20"/>
                <w:szCs w:val="20"/>
                <w:lang w:val="es-ES_tradnl"/>
              </w:rPr>
            </w:pPr>
            <w:r w:rsidRPr="00CE744D">
              <w:rPr>
                <w:rFonts w:ascii="Arial" w:hAnsi="Arial" w:cs="Arial"/>
                <w:sz w:val="20"/>
                <w:szCs w:val="20"/>
                <w:lang w:val="es-ES_tradnl"/>
              </w:rPr>
              <w:lastRenderedPageBreak/>
              <w:t>EJE 4</w:t>
            </w:r>
          </w:p>
        </w:tc>
        <w:tc>
          <w:tcPr>
            <w:tcW w:w="6204" w:type="dxa"/>
          </w:tcPr>
          <w:p w:rsidR="00664563" w:rsidRDefault="00664563" w:rsidP="00664563">
            <w:pPr>
              <w:cnfStyle w:val="100000000000"/>
              <w:rPr>
                <w:rFonts w:ascii="Arial" w:hAnsi="Arial" w:cs="Arial"/>
                <w:b w:val="0"/>
                <w:lang w:val="es-ES_tradnl"/>
              </w:rPr>
            </w:pPr>
            <w:r w:rsidRPr="004C1685">
              <w:rPr>
                <w:rFonts w:ascii="Arial" w:hAnsi="Arial" w:cs="Arial"/>
                <w:lang w:val="es-ES_tradnl"/>
              </w:rPr>
              <w:t>Desarrollo Energético</w:t>
            </w:r>
            <w:r>
              <w:rPr>
                <w:rFonts w:ascii="Arial" w:hAnsi="Arial" w:cs="Arial"/>
                <w:lang w:val="es-ES_tradnl"/>
              </w:rPr>
              <w:t xml:space="preserve"> y Política ambiental</w:t>
            </w:r>
          </w:p>
        </w:tc>
      </w:tr>
      <w:tr w:rsidR="00664563" w:rsidTr="00664563">
        <w:trPr>
          <w:cnfStyle w:val="000000100000"/>
        </w:trPr>
        <w:tc>
          <w:tcPr>
            <w:cnfStyle w:val="001000000000"/>
            <w:tcW w:w="2693" w:type="dxa"/>
          </w:tcPr>
          <w:p w:rsidR="00664563" w:rsidRPr="00CE744D" w:rsidRDefault="00664563" w:rsidP="00664563">
            <w:pPr>
              <w:jc w:val="center"/>
              <w:rPr>
                <w:rFonts w:ascii="Arial" w:hAnsi="Arial" w:cs="Arial"/>
                <w:sz w:val="20"/>
                <w:szCs w:val="20"/>
                <w:lang w:val="es-ES_tradnl"/>
              </w:rPr>
            </w:pPr>
          </w:p>
          <w:p w:rsidR="00664563" w:rsidRPr="00CE744D" w:rsidRDefault="00664563" w:rsidP="00664563">
            <w:pPr>
              <w:jc w:val="center"/>
              <w:rPr>
                <w:rFonts w:ascii="Arial" w:hAnsi="Arial" w:cs="Arial"/>
                <w:sz w:val="20"/>
                <w:szCs w:val="20"/>
                <w:lang w:val="es-ES_tradnl"/>
              </w:rPr>
            </w:pPr>
          </w:p>
          <w:p w:rsidR="00664563" w:rsidRPr="00CE744D" w:rsidRDefault="00664563" w:rsidP="00664563">
            <w:pPr>
              <w:jc w:val="center"/>
              <w:rPr>
                <w:rFonts w:ascii="Arial" w:hAnsi="Arial" w:cs="Arial"/>
                <w:sz w:val="20"/>
                <w:szCs w:val="20"/>
                <w:lang w:val="es-ES_tradnl"/>
              </w:rPr>
            </w:pPr>
            <w:r w:rsidRPr="00CE744D">
              <w:rPr>
                <w:rFonts w:ascii="Arial" w:hAnsi="Arial" w:cs="Arial"/>
                <w:sz w:val="20"/>
                <w:szCs w:val="20"/>
                <w:lang w:val="es-ES_tradnl"/>
              </w:rPr>
              <w:t>OBJETIVO</w:t>
            </w:r>
          </w:p>
        </w:tc>
        <w:tc>
          <w:tcPr>
            <w:tcW w:w="6204" w:type="dxa"/>
          </w:tcPr>
          <w:p w:rsidR="00664563" w:rsidRDefault="00664563" w:rsidP="00664563">
            <w:pPr>
              <w:spacing w:line="276" w:lineRule="auto"/>
              <w:jc w:val="both"/>
              <w:cnfStyle w:val="000000100000"/>
              <w:rPr>
                <w:rFonts w:ascii="Arial" w:hAnsi="Arial" w:cs="Arial"/>
                <w:b/>
                <w:lang w:val="es-ES_tradnl"/>
              </w:rPr>
            </w:pPr>
            <w:r>
              <w:rPr>
                <w:rFonts w:ascii="Arial" w:hAnsi="Arial" w:cs="Arial"/>
                <w:lang w:val="es-ES_tradnl"/>
              </w:rPr>
              <w:t>Contar con un organismo de investigación, especializado en el estudio de la explotación, uso racional y conservación de todo el potencial productivo, energético y natural de la región, así como para definir las políticas y estrategias que nos permitan hacer frente a los efectos del cambio climático y atender la transformación del modelo energético que se debe iniciar desde ahora con una perspectiva para los próximos 25 años.</w:t>
            </w:r>
          </w:p>
        </w:tc>
      </w:tr>
      <w:tr w:rsidR="00664563" w:rsidTr="00664563">
        <w:tc>
          <w:tcPr>
            <w:cnfStyle w:val="001000000000"/>
            <w:tcW w:w="2693" w:type="dxa"/>
          </w:tcPr>
          <w:p w:rsidR="00664563" w:rsidRPr="00CE744D" w:rsidRDefault="00664563" w:rsidP="00664563">
            <w:pPr>
              <w:jc w:val="center"/>
              <w:rPr>
                <w:rFonts w:ascii="Arial" w:hAnsi="Arial" w:cs="Arial"/>
                <w:sz w:val="20"/>
                <w:szCs w:val="20"/>
                <w:lang w:val="es-ES_tradnl"/>
              </w:rPr>
            </w:pPr>
          </w:p>
          <w:p w:rsidR="00664563" w:rsidRPr="00CE744D" w:rsidRDefault="00664563" w:rsidP="00664563">
            <w:pPr>
              <w:jc w:val="center"/>
              <w:rPr>
                <w:rFonts w:ascii="Arial" w:hAnsi="Arial" w:cs="Arial"/>
                <w:sz w:val="20"/>
                <w:szCs w:val="20"/>
                <w:lang w:val="es-ES_tradnl"/>
              </w:rPr>
            </w:pPr>
            <w:r w:rsidRPr="00CE744D">
              <w:rPr>
                <w:rFonts w:ascii="Arial" w:hAnsi="Arial" w:cs="Arial"/>
                <w:sz w:val="20"/>
                <w:szCs w:val="20"/>
                <w:lang w:val="es-ES_tradnl"/>
              </w:rPr>
              <w:t>PROYECTO</w:t>
            </w:r>
          </w:p>
        </w:tc>
        <w:tc>
          <w:tcPr>
            <w:tcW w:w="6204" w:type="dxa"/>
          </w:tcPr>
          <w:p w:rsidR="00664563" w:rsidRDefault="00664563" w:rsidP="00664563">
            <w:pPr>
              <w:jc w:val="both"/>
              <w:cnfStyle w:val="000000000000"/>
              <w:rPr>
                <w:rFonts w:ascii="Arial" w:hAnsi="Arial" w:cs="Arial"/>
                <w:b/>
                <w:lang w:val="es-ES_tradnl"/>
              </w:rPr>
            </w:pPr>
            <w:r w:rsidRPr="004C1685">
              <w:rPr>
                <w:rFonts w:ascii="Arial" w:hAnsi="Arial" w:cs="Arial"/>
                <w:lang w:val="es-MX"/>
              </w:rPr>
              <w:t>Centro Mesoamericano para l</w:t>
            </w:r>
            <w:r>
              <w:rPr>
                <w:rFonts w:ascii="Arial" w:hAnsi="Arial" w:cs="Arial"/>
                <w:lang w:val="es-MX"/>
              </w:rPr>
              <w:t>as Energías Renovables, el Agua y los Ecosistemas</w:t>
            </w:r>
            <w:r w:rsidRPr="004C1685">
              <w:rPr>
                <w:rFonts w:ascii="Arial" w:hAnsi="Arial" w:cs="Arial"/>
                <w:lang w:val="es-MX"/>
              </w:rPr>
              <w:t xml:space="preserve"> (CMESAE)</w:t>
            </w:r>
          </w:p>
        </w:tc>
      </w:tr>
      <w:tr w:rsidR="00664563" w:rsidTr="00664563">
        <w:trPr>
          <w:cnfStyle w:val="000000100000"/>
        </w:trPr>
        <w:tc>
          <w:tcPr>
            <w:cnfStyle w:val="001000000000"/>
            <w:tcW w:w="2693" w:type="dxa"/>
          </w:tcPr>
          <w:p w:rsidR="00664563" w:rsidRPr="00CE744D" w:rsidRDefault="00664563" w:rsidP="00664563">
            <w:pPr>
              <w:jc w:val="center"/>
              <w:rPr>
                <w:rFonts w:ascii="Arial" w:hAnsi="Arial" w:cs="Arial"/>
                <w:sz w:val="20"/>
                <w:szCs w:val="20"/>
                <w:lang w:val="es-ES_tradnl"/>
              </w:rPr>
            </w:pPr>
          </w:p>
          <w:p w:rsidR="00664563" w:rsidRPr="00CE744D" w:rsidRDefault="00664563" w:rsidP="00664563">
            <w:pPr>
              <w:jc w:val="center"/>
              <w:rPr>
                <w:rFonts w:ascii="Arial" w:hAnsi="Arial" w:cs="Arial"/>
                <w:sz w:val="20"/>
                <w:szCs w:val="20"/>
                <w:lang w:val="es-ES_tradnl"/>
              </w:rPr>
            </w:pPr>
          </w:p>
          <w:p w:rsidR="00664563" w:rsidRPr="00CE744D" w:rsidRDefault="00664563" w:rsidP="00664563">
            <w:pPr>
              <w:jc w:val="center"/>
              <w:rPr>
                <w:rFonts w:ascii="Arial" w:hAnsi="Arial" w:cs="Arial"/>
                <w:sz w:val="20"/>
                <w:szCs w:val="20"/>
                <w:lang w:val="es-ES_tradnl"/>
              </w:rPr>
            </w:pPr>
            <w:r w:rsidRPr="00CE744D">
              <w:rPr>
                <w:rFonts w:ascii="Arial" w:hAnsi="Arial" w:cs="Arial"/>
                <w:sz w:val="20"/>
                <w:szCs w:val="20"/>
                <w:lang w:val="es-ES_tradnl"/>
              </w:rPr>
              <w:t>LINEAS DE ACCIÓN</w:t>
            </w:r>
          </w:p>
        </w:tc>
        <w:tc>
          <w:tcPr>
            <w:tcW w:w="6204" w:type="dxa"/>
          </w:tcPr>
          <w:p w:rsidR="00664563" w:rsidRPr="00604E55" w:rsidRDefault="00664563" w:rsidP="00664563">
            <w:pPr>
              <w:pStyle w:val="Prrafodelista"/>
              <w:numPr>
                <w:ilvl w:val="0"/>
                <w:numId w:val="13"/>
              </w:numPr>
              <w:ind w:left="284" w:hanging="283"/>
              <w:jc w:val="both"/>
              <w:cnfStyle w:val="000000100000"/>
              <w:rPr>
                <w:rFonts w:ascii="Arial" w:hAnsi="Arial" w:cs="Arial"/>
                <w:b/>
                <w:lang w:val="es-ES_tradnl"/>
              </w:rPr>
            </w:pPr>
            <w:r w:rsidRPr="00604E55">
              <w:rPr>
                <w:rFonts w:ascii="Arial" w:hAnsi="Arial" w:cs="Arial"/>
                <w:lang w:val="es-ES_tradnl"/>
              </w:rPr>
              <w:t xml:space="preserve">Reunión con </w:t>
            </w:r>
            <w:r>
              <w:rPr>
                <w:rFonts w:ascii="Arial" w:hAnsi="Arial" w:cs="Arial"/>
                <w:lang w:val="es-ES_tradnl"/>
              </w:rPr>
              <w:t>los titulares de la Secretarí</w:t>
            </w:r>
            <w:r w:rsidRPr="00604E55">
              <w:rPr>
                <w:rFonts w:ascii="Arial" w:hAnsi="Arial" w:cs="Arial"/>
                <w:lang w:val="es-ES_tradnl"/>
              </w:rPr>
              <w:t xml:space="preserve">a de Energía, PEMEX y C.F.E. </w:t>
            </w:r>
            <w:r>
              <w:rPr>
                <w:rFonts w:ascii="Arial" w:hAnsi="Arial" w:cs="Arial"/>
                <w:lang w:val="es-ES_tradnl"/>
              </w:rPr>
              <w:t>para que en el marco de los compromisos con el desarrollo de la investigación en su rama, aporten recursos que permitan concretar la creación del CMESAE.</w:t>
            </w:r>
          </w:p>
          <w:p w:rsidR="00664563" w:rsidRPr="005410CA" w:rsidRDefault="00664563" w:rsidP="00664563">
            <w:pPr>
              <w:pStyle w:val="Prrafodelista"/>
              <w:numPr>
                <w:ilvl w:val="0"/>
                <w:numId w:val="13"/>
              </w:numPr>
              <w:ind w:left="284" w:hanging="283"/>
              <w:jc w:val="both"/>
              <w:cnfStyle w:val="000000100000"/>
              <w:rPr>
                <w:rFonts w:ascii="Arial" w:hAnsi="Arial" w:cs="Arial"/>
                <w:b/>
                <w:lang w:val="es-ES_tradnl"/>
              </w:rPr>
            </w:pPr>
            <w:r w:rsidRPr="006F6F9D">
              <w:rPr>
                <w:rFonts w:ascii="Arial" w:hAnsi="Arial" w:cs="Arial"/>
                <w:lang w:val="es-ES_tradnl"/>
              </w:rPr>
              <w:t>Reunión con la Comisión de Energía de la Cámara de Diputados</w:t>
            </w:r>
            <w:r>
              <w:rPr>
                <w:rFonts w:ascii="Arial" w:hAnsi="Arial" w:cs="Arial"/>
                <w:lang w:val="es-ES_tradnl"/>
              </w:rPr>
              <w:t xml:space="preserve"> para gestionar la asignación de recursos para el proyecto en el PEF 2011.</w:t>
            </w:r>
          </w:p>
          <w:p w:rsidR="00664563" w:rsidRPr="006F6F9D" w:rsidRDefault="00664563" w:rsidP="00664563">
            <w:pPr>
              <w:pStyle w:val="Prrafodelista"/>
              <w:numPr>
                <w:ilvl w:val="0"/>
                <w:numId w:val="13"/>
              </w:numPr>
              <w:ind w:left="284" w:hanging="283"/>
              <w:jc w:val="both"/>
              <w:cnfStyle w:val="000000100000"/>
              <w:rPr>
                <w:rFonts w:ascii="Arial" w:hAnsi="Arial" w:cs="Arial"/>
                <w:b/>
                <w:lang w:val="es-ES_tradnl"/>
              </w:rPr>
            </w:pPr>
            <w:r w:rsidRPr="003F7482">
              <w:rPr>
                <w:rFonts w:ascii="Arial" w:hAnsi="Arial" w:cs="Arial"/>
                <w:lang w:val="es-ES_tradnl"/>
              </w:rPr>
              <w:t>Reunión con integrantes de las Comisiones de Medio Ambiente, Energía y</w:t>
            </w:r>
            <w:r>
              <w:rPr>
                <w:rFonts w:ascii="Arial" w:hAnsi="Arial" w:cs="Arial"/>
                <w:lang w:val="es-ES_tradnl"/>
              </w:rPr>
              <w:t xml:space="preserve"> Agua con el propósito de sumar esfuerzos para concretar el proyecto.</w:t>
            </w:r>
          </w:p>
        </w:tc>
      </w:tr>
      <w:tr w:rsidR="00664563" w:rsidTr="00664563">
        <w:tc>
          <w:tcPr>
            <w:cnfStyle w:val="001000000000"/>
            <w:tcW w:w="2693" w:type="dxa"/>
          </w:tcPr>
          <w:p w:rsidR="00664563" w:rsidRPr="00CE744D" w:rsidRDefault="00664563" w:rsidP="00664563">
            <w:pPr>
              <w:jc w:val="center"/>
              <w:rPr>
                <w:rFonts w:ascii="Arial" w:hAnsi="Arial" w:cs="Arial"/>
                <w:sz w:val="20"/>
                <w:szCs w:val="20"/>
                <w:lang w:val="es-ES_tradnl"/>
              </w:rPr>
            </w:pPr>
            <w:r w:rsidRPr="00CE744D">
              <w:rPr>
                <w:rFonts w:ascii="Arial" w:hAnsi="Arial" w:cs="Arial"/>
                <w:sz w:val="20"/>
                <w:szCs w:val="20"/>
                <w:lang w:val="es-ES_tradnl"/>
              </w:rPr>
              <w:t>IMPACTO/BENEFICIO</w:t>
            </w:r>
          </w:p>
        </w:tc>
        <w:tc>
          <w:tcPr>
            <w:tcW w:w="6204" w:type="dxa"/>
          </w:tcPr>
          <w:p w:rsidR="00664563" w:rsidRPr="006F6F9D" w:rsidRDefault="00664563" w:rsidP="00664563">
            <w:pPr>
              <w:pStyle w:val="Prrafodelista"/>
              <w:ind w:left="318"/>
              <w:jc w:val="both"/>
              <w:cnfStyle w:val="000000000000"/>
              <w:rPr>
                <w:rFonts w:ascii="Arial" w:hAnsi="Arial" w:cs="Arial"/>
                <w:lang w:val="es-ES_tradnl"/>
              </w:rPr>
            </w:pPr>
            <w:r>
              <w:rPr>
                <w:rFonts w:ascii="Arial" w:hAnsi="Arial" w:cs="Arial"/>
                <w:lang w:val="es-ES_tradnl"/>
              </w:rPr>
              <w:t>Todos los estados del Sur Sureste con proyección nacional e internacional.</w:t>
            </w:r>
          </w:p>
        </w:tc>
      </w:tr>
    </w:tbl>
    <w:p w:rsidR="00A00889" w:rsidRDefault="00A00889" w:rsidP="00430F09">
      <w:pPr>
        <w:rPr>
          <w:rFonts w:ascii="Arial" w:hAnsi="Arial" w:cs="Arial"/>
          <w:b/>
          <w:lang w:val="es-ES_tradnl"/>
        </w:rPr>
      </w:pPr>
    </w:p>
    <w:p w:rsidR="00A00889" w:rsidRDefault="00A0088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Pr="007507D6" w:rsidRDefault="00430F09" w:rsidP="00430F09">
      <w:pPr>
        <w:rPr>
          <w:rFonts w:ascii="Arial" w:hAnsi="Arial" w:cs="Arial"/>
          <w:b/>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30F09" w:rsidRDefault="00430F09" w:rsidP="00430F09">
      <w:pPr>
        <w:rPr>
          <w:rFonts w:ascii="Arial" w:hAnsi="Arial" w:cs="Arial"/>
          <w:b/>
          <w:lang w:val="es-ES_tradnl"/>
        </w:rPr>
      </w:pPr>
    </w:p>
    <w:p w:rsidR="004B7093" w:rsidRDefault="004B7093" w:rsidP="006127C6">
      <w:pPr>
        <w:tabs>
          <w:tab w:val="left" w:pos="2265"/>
          <w:tab w:val="center" w:pos="4009"/>
        </w:tabs>
        <w:ind w:left="284"/>
        <w:jc w:val="both"/>
        <w:rPr>
          <w:rFonts w:ascii="Calibri" w:hAnsi="Calibri" w:cs="Arial"/>
          <w:sz w:val="20"/>
          <w:lang w:val="es-ES_tradnl"/>
        </w:rPr>
      </w:pPr>
    </w:p>
    <w:p w:rsidR="000D057A" w:rsidRDefault="000D057A" w:rsidP="006127C6">
      <w:pPr>
        <w:tabs>
          <w:tab w:val="left" w:pos="2265"/>
          <w:tab w:val="center" w:pos="4009"/>
        </w:tabs>
        <w:ind w:left="284"/>
        <w:jc w:val="both"/>
        <w:rPr>
          <w:rFonts w:ascii="Calibri" w:hAnsi="Calibri" w:cs="Arial"/>
          <w:sz w:val="20"/>
          <w:lang w:val="es-ES_tradnl"/>
        </w:rPr>
      </w:pPr>
    </w:p>
    <w:p w:rsidR="000D057A" w:rsidRDefault="000D057A" w:rsidP="006127C6">
      <w:pPr>
        <w:tabs>
          <w:tab w:val="left" w:pos="2265"/>
          <w:tab w:val="center" w:pos="4009"/>
        </w:tabs>
        <w:ind w:left="284"/>
        <w:jc w:val="both"/>
        <w:rPr>
          <w:rFonts w:ascii="Calibri" w:hAnsi="Calibri" w:cs="Arial"/>
          <w:sz w:val="20"/>
          <w:lang w:val="es-ES_tradnl"/>
        </w:rPr>
      </w:pPr>
    </w:p>
    <w:p w:rsidR="000D057A" w:rsidRDefault="000D057A" w:rsidP="006127C6">
      <w:pPr>
        <w:tabs>
          <w:tab w:val="left" w:pos="2265"/>
          <w:tab w:val="center" w:pos="4009"/>
        </w:tabs>
        <w:ind w:left="284"/>
        <w:jc w:val="both"/>
        <w:rPr>
          <w:rFonts w:ascii="Calibri" w:hAnsi="Calibri" w:cs="Arial"/>
          <w:sz w:val="20"/>
          <w:lang w:val="es-ES_tradnl"/>
        </w:rPr>
      </w:pPr>
    </w:p>
    <w:p w:rsidR="000D057A" w:rsidRDefault="000D057A" w:rsidP="006127C6">
      <w:pPr>
        <w:tabs>
          <w:tab w:val="left" w:pos="2265"/>
          <w:tab w:val="center" w:pos="4009"/>
        </w:tabs>
        <w:ind w:left="284"/>
        <w:jc w:val="both"/>
        <w:rPr>
          <w:rFonts w:ascii="Calibri" w:hAnsi="Calibri" w:cs="Arial"/>
          <w:sz w:val="20"/>
          <w:lang w:val="es-ES_tradnl"/>
        </w:rPr>
      </w:pPr>
    </w:p>
    <w:p w:rsidR="00A3014E" w:rsidRPr="00A3014E" w:rsidRDefault="00A3014E" w:rsidP="00A3014E">
      <w:pPr>
        <w:pStyle w:val="Prrafodelista"/>
        <w:tabs>
          <w:tab w:val="left" w:pos="2265"/>
          <w:tab w:val="center" w:pos="4009"/>
        </w:tabs>
        <w:jc w:val="both"/>
        <w:rPr>
          <w:rFonts w:ascii="Calibri" w:hAnsi="Calibri" w:cs="Arial"/>
          <w:sz w:val="14"/>
          <w:szCs w:val="16"/>
        </w:rPr>
      </w:pPr>
    </w:p>
    <w:p w:rsidR="004B7093" w:rsidRPr="006127C6" w:rsidRDefault="006127C6" w:rsidP="006127C6">
      <w:pPr>
        <w:pStyle w:val="Prrafodelista"/>
        <w:numPr>
          <w:ilvl w:val="0"/>
          <w:numId w:val="7"/>
        </w:numPr>
        <w:tabs>
          <w:tab w:val="left" w:pos="2265"/>
          <w:tab w:val="center" w:pos="4009"/>
        </w:tabs>
        <w:jc w:val="both"/>
        <w:rPr>
          <w:rFonts w:ascii="Calibri" w:hAnsi="Calibri" w:cs="Arial"/>
        </w:rPr>
      </w:pPr>
      <w:r w:rsidRPr="006127C6">
        <w:rPr>
          <w:rFonts w:ascii="Calibri" w:hAnsi="Calibri" w:cs="Arial"/>
        </w:rPr>
        <w:t>Aproba</w:t>
      </w:r>
      <w:r w:rsidR="000D057A">
        <w:rPr>
          <w:rFonts w:ascii="Calibri" w:hAnsi="Calibri" w:cs="Arial"/>
        </w:rPr>
        <w:t>ció</w:t>
      </w:r>
      <w:r w:rsidRPr="006127C6">
        <w:rPr>
          <w:rFonts w:ascii="Calibri" w:hAnsi="Calibri" w:cs="Arial"/>
        </w:rPr>
        <w:t>n</w:t>
      </w:r>
      <w:r w:rsidR="000D057A">
        <w:rPr>
          <w:rFonts w:ascii="Calibri" w:hAnsi="Calibri" w:cs="Arial"/>
        </w:rPr>
        <w:t xml:space="preserve"> de</w:t>
      </w:r>
      <w:r w:rsidR="004B7093" w:rsidRPr="006127C6">
        <w:rPr>
          <w:rFonts w:ascii="Calibri" w:hAnsi="Calibri" w:cs="Arial"/>
        </w:rPr>
        <w:t xml:space="preserve"> la propuesta del logotipo de la Comisión (se adjunta diseño)</w:t>
      </w:r>
      <w:r w:rsidR="000D057A">
        <w:rPr>
          <w:rFonts w:ascii="Calibri" w:hAnsi="Calibri" w:cs="Arial"/>
        </w:rPr>
        <w:t>.</w:t>
      </w:r>
    </w:p>
    <w:p w:rsidR="004B7093" w:rsidRPr="00A3014E" w:rsidRDefault="004B7093" w:rsidP="006127C6">
      <w:pPr>
        <w:tabs>
          <w:tab w:val="left" w:pos="2265"/>
          <w:tab w:val="center" w:pos="4009"/>
        </w:tabs>
        <w:ind w:left="284"/>
        <w:jc w:val="both"/>
        <w:rPr>
          <w:rFonts w:ascii="Calibri" w:hAnsi="Calibri" w:cs="Arial"/>
          <w:sz w:val="14"/>
        </w:rPr>
      </w:pPr>
    </w:p>
    <w:p w:rsidR="004B7093" w:rsidRPr="006127C6" w:rsidRDefault="006127C6" w:rsidP="006127C6">
      <w:pPr>
        <w:pStyle w:val="Prrafodelista"/>
        <w:numPr>
          <w:ilvl w:val="0"/>
          <w:numId w:val="7"/>
        </w:numPr>
        <w:tabs>
          <w:tab w:val="left" w:pos="2265"/>
          <w:tab w:val="center" w:pos="4009"/>
        </w:tabs>
        <w:jc w:val="both"/>
        <w:rPr>
          <w:rFonts w:ascii="Calibri" w:hAnsi="Calibri" w:cs="Arial"/>
        </w:rPr>
      </w:pPr>
      <w:r>
        <w:rPr>
          <w:rFonts w:ascii="Calibri" w:hAnsi="Calibri" w:cs="Arial"/>
        </w:rPr>
        <w:t xml:space="preserve">Recepción de </w:t>
      </w:r>
      <w:r w:rsidR="004B7093" w:rsidRPr="006127C6">
        <w:rPr>
          <w:rFonts w:ascii="Calibri" w:hAnsi="Calibri" w:cs="Arial"/>
        </w:rPr>
        <w:t>la solicitud de la Señora Gobernadora del Estado de Yucatán donde manif</w:t>
      </w:r>
      <w:r w:rsidR="000D057A">
        <w:rPr>
          <w:rFonts w:ascii="Calibri" w:hAnsi="Calibri" w:cs="Arial"/>
        </w:rPr>
        <w:t>iesta su interés por ocupar la V</w:t>
      </w:r>
      <w:r w:rsidR="004B7093" w:rsidRPr="006127C6">
        <w:rPr>
          <w:rFonts w:ascii="Calibri" w:hAnsi="Calibri" w:cs="Arial"/>
        </w:rPr>
        <w:t xml:space="preserve">ice </w:t>
      </w:r>
      <w:r w:rsidR="000D057A">
        <w:rPr>
          <w:rFonts w:ascii="Calibri" w:hAnsi="Calibri" w:cs="Arial"/>
        </w:rPr>
        <w:t>Coordinación de la C</w:t>
      </w:r>
      <w:r w:rsidR="004B7093" w:rsidRPr="006127C6">
        <w:rPr>
          <w:rFonts w:ascii="Calibri" w:hAnsi="Calibri" w:cs="Arial"/>
        </w:rPr>
        <w:t>omisión, misma que será sometida al Pleno de Gobernadores en la XXXVIII Reunión Ordinaria.</w:t>
      </w:r>
    </w:p>
    <w:p w:rsidR="00DF372D" w:rsidRPr="00A3014E" w:rsidRDefault="00DF372D" w:rsidP="006127C6">
      <w:pPr>
        <w:tabs>
          <w:tab w:val="left" w:pos="2265"/>
          <w:tab w:val="center" w:pos="4009"/>
        </w:tabs>
        <w:ind w:left="284"/>
        <w:jc w:val="both"/>
        <w:rPr>
          <w:rFonts w:ascii="Calibri" w:hAnsi="Calibri" w:cs="Arial"/>
          <w:sz w:val="14"/>
        </w:rPr>
      </w:pPr>
    </w:p>
    <w:p w:rsidR="00DF372D" w:rsidRPr="006127C6" w:rsidRDefault="000D057A" w:rsidP="006127C6">
      <w:pPr>
        <w:pStyle w:val="Prrafodelista"/>
        <w:numPr>
          <w:ilvl w:val="0"/>
          <w:numId w:val="7"/>
        </w:numPr>
        <w:tabs>
          <w:tab w:val="left" w:pos="2265"/>
          <w:tab w:val="center" w:pos="4009"/>
        </w:tabs>
        <w:jc w:val="both"/>
        <w:rPr>
          <w:rFonts w:ascii="Calibri" w:hAnsi="Calibri" w:cs="Arial"/>
        </w:rPr>
      </w:pPr>
      <w:r>
        <w:rPr>
          <w:rFonts w:ascii="Calibri" w:hAnsi="Calibri" w:cs="Arial"/>
        </w:rPr>
        <w:t>Acuerdo para que l</w:t>
      </w:r>
      <w:r w:rsidR="00DF372D" w:rsidRPr="006127C6">
        <w:rPr>
          <w:rFonts w:ascii="Calibri" w:hAnsi="Calibri" w:cs="Arial"/>
        </w:rPr>
        <w:t>as reuniones de la Comisión se reali</w:t>
      </w:r>
      <w:r>
        <w:rPr>
          <w:rFonts w:ascii="Calibri" w:hAnsi="Calibri" w:cs="Arial"/>
        </w:rPr>
        <w:t>ce</w:t>
      </w:r>
      <w:r w:rsidR="00DF372D" w:rsidRPr="006127C6">
        <w:rPr>
          <w:rFonts w:ascii="Calibri" w:hAnsi="Calibri" w:cs="Arial"/>
        </w:rPr>
        <w:t xml:space="preserve">n de manera rotativa en las entidades federativas integrantes de la </w:t>
      </w:r>
      <w:r>
        <w:rPr>
          <w:rFonts w:ascii="Calibri" w:hAnsi="Calibri" w:cs="Arial"/>
        </w:rPr>
        <w:t>misma, siendo la próxima en el e</w:t>
      </w:r>
      <w:r w:rsidR="00DF372D" w:rsidRPr="006127C6">
        <w:rPr>
          <w:rFonts w:ascii="Calibri" w:hAnsi="Calibri" w:cs="Arial"/>
        </w:rPr>
        <w:t>st</w:t>
      </w:r>
      <w:r w:rsidR="00A3014E">
        <w:rPr>
          <w:rFonts w:ascii="Calibri" w:hAnsi="Calibri" w:cs="Arial"/>
        </w:rPr>
        <w:t>ado de Oaxaca en el mes de mayo</w:t>
      </w:r>
    </w:p>
    <w:p w:rsidR="004B7093" w:rsidRPr="00A3014E" w:rsidRDefault="004B7093" w:rsidP="006127C6">
      <w:pPr>
        <w:tabs>
          <w:tab w:val="left" w:pos="2265"/>
          <w:tab w:val="center" w:pos="4009"/>
        </w:tabs>
        <w:ind w:left="284"/>
        <w:jc w:val="both"/>
        <w:rPr>
          <w:rFonts w:ascii="Calibri" w:hAnsi="Calibri" w:cs="Arial"/>
          <w:sz w:val="14"/>
        </w:rPr>
      </w:pPr>
    </w:p>
    <w:p w:rsidR="006718C8" w:rsidRDefault="00044642" w:rsidP="006127C6">
      <w:pPr>
        <w:tabs>
          <w:tab w:val="left" w:pos="2265"/>
          <w:tab w:val="center" w:pos="4009"/>
        </w:tabs>
        <w:ind w:left="284"/>
        <w:jc w:val="both"/>
        <w:rPr>
          <w:rFonts w:ascii="Calibri" w:hAnsi="Calibri" w:cs="Arial"/>
        </w:rPr>
      </w:pPr>
      <w:r>
        <w:rPr>
          <w:rFonts w:ascii="Calibri" w:hAnsi="Calibri" w:cs="Arial"/>
        </w:rPr>
        <w:t xml:space="preserve">Para el seguimiento y consolidación de los proyectos presentados en la agenda de trabajo de esta Comisión, se </w:t>
      </w:r>
      <w:r w:rsidR="000D057A">
        <w:rPr>
          <w:rFonts w:ascii="Calibri" w:hAnsi="Calibri" w:cs="Arial"/>
        </w:rPr>
        <w:t>efectuarán</w:t>
      </w:r>
      <w:r>
        <w:rPr>
          <w:rFonts w:ascii="Calibri" w:hAnsi="Calibri" w:cs="Arial"/>
        </w:rPr>
        <w:t xml:space="preserve"> reuniones de trabajo c</w:t>
      </w:r>
      <w:r w:rsidR="006127C6">
        <w:rPr>
          <w:rFonts w:ascii="Calibri" w:hAnsi="Calibri" w:cs="Arial"/>
        </w:rPr>
        <w:t>on los titulares de</w:t>
      </w:r>
      <w:r w:rsidR="000D057A">
        <w:rPr>
          <w:rFonts w:ascii="Calibri" w:hAnsi="Calibri" w:cs="Arial"/>
        </w:rPr>
        <w:t xml:space="preserve"> </w:t>
      </w:r>
      <w:r w:rsidR="006718C8">
        <w:rPr>
          <w:rFonts w:ascii="Calibri" w:hAnsi="Calibri" w:cs="Arial"/>
        </w:rPr>
        <w:t>la Secretaría de Energía, Comunicaciones y Transportes, PEMEX, y C</w:t>
      </w:r>
      <w:r w:rsidR="00664563">
        <w:rPr>
          <w:rFonts w:ascii="Calibri" w:hAnsi="Calibri" w:cs="Arial"/>
        </w:rPr>
        <w:t xml:space="preserve">.F.E.; la comisione </w:t>
      </w:r>
      <w:r w:rsidR="006718C8">
        <w:rPr>
          <w:rFonts w:ascii="Calibri" w:hAnsi="Calibri" w:cs="Arial"/>
        </w:rPr>
        <w:t xml:space="preserve">encargada de </w:t>
      </w:r>
      <w:r w:rsidR="000D057A">
        <w:rPr>
          <w:rFonts w:ascii="Calibri" w:hAnsi="Calibri" w:cs="Arial"/>
        </w:rPr>
        <w:t>I</w:t>
      </w:r>
      <w:r w:rsidR="006718C8">
        <w:rPr>
          <w:rFonts w:ascii="Calibri" w:hAnsi="Calibri" w:cs="Arial"/>
        </w:rPr>
        <w:t xml:space="preserve">mpulsar y dar </w:t>
      </w:r>
      <w:r w:rsidR="000D057A">
        <w:rPr>
          <w:rFonts w:ascii="Calibri" w:hAnsi="Calibri" w:cs="Arial"/>
        </w:rPr>
        <w:t>S</w:t>
      </w:r>
      <w:r w:rsidR="006718C8">
        <w:rPr>
          <w:rFonts w:ascii="Calibri" w:hAnsi="Calibri" w:cs="Arial"/>
        </w:rPr>
        <w:t xml:space="preserve">eguimiento a los </w:t>
      </w:r>
      <w:r w:rsidR="000D057A">
        <w:rPr>
          <w:rFonts w:ascii="Calibri" w:hAnsi="Calibri" w:cs="Arial"/>
        </w:rPr>
        <w:t>P</w:t>
      </w:r>
      <w:r w:rsidR="006718C8">
        <w:rPr>
          <w:rFonts w:ascii="Calibri" w:hAnsi="Calibri" w:cs="Arial"/>
        </w:rPr>
        <w:t xml:space="preserve">rogramas y </w:t>
      </w:r>
      <w:r w:rsidR="000D057A">
        <w:rPr>
          <w:rFonts w:ascii="Calibri" w:hAnsi="Calibri" w:cs="Arial"/>
        </w:rPr>
        <w:t>P</w:t>
      </w:r>
      <w:r w:rsidR="006718C8">
        <w:rPr>
          <w:rFonts w:ascii="Calibri" w:hAnsi="Calibri" w:cs="Arial"/>
        </w:rPr>
        <w:t>royectos de Desarrollo Regional del Sur Sureste de Méxi</w:t>
      </w:r>
      <w:r w:rsidR="006127C6">
        <w:rPr>
          <w:rFonts w:ascii="Calibri" w:hAnsi="Calibri" w:cs="Arial"/>
        </w:rPr>
        <w:t>co, de A</w:t>
      </w:r>
      <w:r w:rsidR="006718C8">
        <w:rPr>
          <w:rFonts w:ascii="Calibri" w:hAnsi="Calibri" w:cs="Arial"/>
        </w:rPr>
        <w:t xml:space="preserve">tención de los Asuntos de la Frontera Sur y </w:t>
      </w:r>
      <w:r w:rsidR="00664563">
        <w:rPr>
          <w:rFonts w:ascii="Calibri" w:hAnsi="Calibri" w:cs="Arial"/>
        </w:rPr>
        <w:t>de Transportes</w:t>
      </w:r>
      <w:r w:rsidR="00A3014E">
        <w:rPr>
          <w:rFonts w:ascii="Calibri" w:hAnsi="Calibri" w:cs="Arial"/>
        </w:rPr>
        <w:t xml:space="preserve"> de la Cámara de Diputados</w:t>
      </w:r>
      <w:r w:rsidR="00664563">
        <w:rPr>
          <w:rFonts w:ascii="Calibri" w:hAnsi="Calibri" w:cs="Arial"/>
        </w:rPr>
        <w:t>; las comisiones</w:t>
      </w:r>
      <w:r w:rsidR="002A10BD">
        <w:rPr>
          <w:rFonts w:ascii="Calibri" w:hAnsi="Calibri" w:cs="Arial"/>
        </w:rPr>
        <w:t xml:space="preserve"> de Desarrollo Regional, Comunicaciones y Transportes, Energía, Fomento Económico, Relaciones Exteriores, América Latina y el Caribe y Comi</w:t>
      </w:r>
      <w:r w:rsidR="00664563">
        <w:rPr>
          <w:rFonts w:ascii="Calibri" w:hAnsi="Calibri" w:cs="Arial"/>
        </w:rPr>
        <w:t>sión de Asuntos Fronterizos Sur del Senado de la República.</w:t>
      </w:r>
    </w:p>
    <w:p w:rsidR="002A10BD" w:rsidRPr="00A3014E" w:rsidRDefault="002A10BD" w:rsidP="006127C6">
      <w:pPr>
        <w:tabs>
          <w:tab w:val="left" w:pos="2265"/>
          <w:tab w:val="center" w:pos="4009"/>
        </w:tabs>
        <w:ind w:left="284"/>
        <w:jc w:val="both"/>
        <w:rPr>
          <w:rFonts w:ascii="Calibri" w:hAnsi="Calibri" w:cs="Arial"/>
          <w:sz w:val="16"/>
        </w:rPr>
      </w:pPr>
    </w:p>
    <w:p w:rsidR="007F5C85" w:rsidRPr="00A5520B" w:rsidRDefault="007F5C85" w:rsidP="006127C6">
      <w:pPr>
        <w:tabs>
          <w:tab w:val="left" w:pos="2265"/>
          <w:tab w:val="center" w:pos="4009"/>
        </w:tabs>
        <w:ind w:left="284"/>
        <w:jc w:val="both"/>
        <w:rPr>
          <w:rFonts w:ascii="Calibri" w:hAnsi="Calibri" w:cs="Arial"/>
          <w:b/>
        </w:rPr>
      </w:pPr>
      <w:r w:rsidRPr="00A5520B">
        <w:rPr>
          <w:rFonts w:ascii="Calibri" w:hAnsi="Calibri" w:cs="Arial"/>
          <w:b/>
        </w:rPr>
        <w:t>Atentamente</w:t>
      </w:r>
    </w:p>
    <w:p w:rsidR="007F5C85" w:rsidRPr="00A3014E" w:rsidRDefault="007F5C85" w:rsidP="006127C6">
      <w:pPr>
        <w:tabs>
          <w:tab w:val="left" w:pos="2265"/>
          <w:tab w:val="center" w:pos="4009"/>
        </w:tabs>
        <w:ind w:left="284"/>
        <w:jc w:val="both"/>
        <w:rPr>
          <w:rFonts w:ascii="Calibri" w:hAnsi="Calibri" w:cs="Arial"/>
          <w:sz w:val="14"/>
        </w:rPr>
      </w:pPr>
    </w:p>
    <w:p w:rsidR="007F5C85" w:rsidRPr="00A3014E" w:rsidRDefault="007F5C85" w:rsidP="00A3014E">
      <w:pPr>
        <w:pStyle w:val="Sinespaciado"/>
        <w:ind w:left="284"/>
        <w:rPr>
          <w:b/>
        </w:rPr>
      </w:pPr>
      <w:r w:rsidRPr="00A3014E">
        <w:rPr>
          <w:b/>
        </w:rPr>
        <w:t>Quím. Andrés Rafael Granier Melo</w:t>
      </w:r>
    </w:p>
    <w:p w:rsidR="007F5C85" w:rsidRDefault="007F5C85" w:rsidP="00A3014E">
      <w:pPr>
        <w:pStyle w:val="Sinespaciado"/>
        <w:ind w:left="284"/>
      </w:pPr>
      <w:r>
        <w:t>Gobernador del Estado de Tabasco</w:t>
      </w:r>
    </w:p>
    <w:p w:rsidR="00A3014E" w:rsidRDefault="00664563" w:rsidP="00A3014E">
      <w:pPr>
        <w:pStyle w:val="Sinespaciado"/>
        <w:ind w:left="284"/>
      </w:pPr>
      <w:r>
        <w:t>Y</w:t>
      </w:r>
      <w:r w:rsidR="00A3014E">
        <w:t xml:space="preserve"> </w:t>
      </w:r>
      <w:r>
        <w:t xml:space="preserve"> </w:t>
      </w:r>
      <w:r w:rsidR="007F5C85">
        <w:t>Coordinador de la Comisión</w:t>
      </w:r>
    </w:p>
    <w:sectPr w:rsidR="00A3014E" w:rsidSect="00204B63">
      <w:headerReference w:type="even" r:id="rId8"/>
      <w:headerReference w:type="default" r:id="rId9"/>
      <w:footerReference w:type="default" r:id="rId10"/>
      <w:pgSz w:w="12242" w:h="15842" w:code="1"/>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40" w:rsidRDefault="005A7440" w:rsidP="00F42C7F">
      <w:r>
        <w:separator/>
      </w:r>
    </w:p>
  </w:endnote>
  <w:endnote w:type="continuationSeparator" w:id="0">
    <w:p w:rsidR="005A7440" w:rsidRDefault="005A7440" w:rsidP="00F4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MT">
    <w:panose1 w:val="020E0602030304020304"/>
    <w:charset w:val="00"/>
    <w:family w:val="swiss"/>
    <w:pitch w:val="variable"/>
    <w:sig w:usb0="00000003" w:usb1="00000000" w:usb2="00000000" w:usb3="00000000" w:csb0="00000001" w:csb1="00000000"/>
  </w:font>
  <w:font w:name="Chicago">
    <w:panose1 w:val="020B080608060404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9" w:rsidRDefault="00A00889">
    <w:pPr>
      <w:pStyle w:val="Piedepgina"/>
    </w:pPr>
    <w:r>
      <w:rPr>
        <w:noProof/>
        <w:lang w:eastAsia="es-ES"/>
      </w:rPr>
      <w:drawing>
        <wp:anchor distT="0" distB="0" distL="114300" distR="114300" simplePos="0" relativeHeight="251657216" behindDoc="1" locked="0" layoutInCell="1" allowOverlap="1">
          <wp:simplePos x="0" y="0"/>
          <wp:positionH relativeFrom="column">
            <wp:posOffset>-681990</wp:posOffset>
          </wp:positionH>
          <wp:positionV relativeFrom="paragraph">
            <wp:posOffset>80645</wp:posOffset>
          </wp:positionV>
          <wp:extent cx="7696200" cy="466725"/>
          <wp:effectExtent l="19050" t="0" r="0" b="0"/>
          <wp:wrapNone/>
          <wp:docPr id="7" name="Imagen 1" descr="C:\Documents and Settings\Salim\Mis documentos\Mis imágenes\b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lim\Mis documentos\Mis imágenes\banda.png"/>
                  <pic:cNvPicPr>
                    <a:picLocks noChangeAspect="1" noChangeArrowheads="1"/>
                  </pic:cNvPicPr>
                </pic:nvPicPr>
                <pic:blipFill>
                  <a:blip r:embed="rId1"/>
                  <a:srcRect t="23974" b="66155"/>
                  <a:stretch>
                    <a:fillRect/>
                  </a:stretch>
                </pic:blipFill>
                <pic:spPr bwMode="auto">
                  <a:xfrm>
                    <a:off x="0" y="0"/>
                    <a:ext cx="7696200" cy="4667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1190822</wp:posOffset>
          </wp:positionH>
          <wp:positionV relativeFrom="paragraph">
            <wp:posOffset>-4108713</wp:posOffset>
          </wp:positionV>
          <wp:extent cx="3701612" cy="3358055"/>
          <wp:effectExtent l="19050" t="0" r="0" b="0"/>
          <wp:wrapNone/>
          <wp:docPr id="10" name="Imagen 7" descr="C:\Documents and Settings\Salim\Mis documentos\Mis imágen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lim\Mis documentos\Mis imágenes\2.png"/>
                  <pic:cNvPicPr>
                    <a:picLocks noChangeAspect="1" noChangeArrowheads="1"/>
                  </pic:cNvPicPr>
                </pic:nvPicPr>
                <pic:blipFill>
                  <a:blip r:embed="rId2">
                    <a:duotone>
                      <a:schemeClr val="bg2">
                        <a:shade val="45000"/>
                        <a:satMod val="135000"/>
                      </a:schemeClr>
                      <a:prstClr val="white"/>
                    </a:duotone>
                  </a:blip>
                  <a:srcRect/>
                  <a:stretch>
                    <a:fillRect/>
                  </a:stretch>
                </pic:blipFill>
                <pic:spPr bwMode="auto">
                  <a:xfrm>
                    <a:off x="0" y="0"/>
                    <a:ext cx="3701612" cy="3358055"/>
                  </a:xfrm>
                  <a:prstGeom prst="rect">
                    <a:avLst/>
                  </a:prstGeom>
                  <a:noFill/>
                  <a:ln w="9525">
                    <a:noFill/>
                    <a:miter lim="800000"/>
                    <a:headEnd/>
                    <a:tailEnd/>
                  </a:ln>
                </pic:spPr>
              </pic:pic>
            </a:graphicData>
          </a:graphic>
        </wp:anchor>
      </w:drawing>
    </w:r>
  </w:p>
  <w:p w:rsidR="00A00889" w:rsidRDefault="00A008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40" w:rsidRDefault="005A7440" w:rsidP="00F42C7F">
      <w:r>
        <w:separator/>
      </w:r>
    </w:p>
  </w:footnote>
  <w:footnote w:type="continuationSeparator" w:id="0">
    <w:p w:rsidR="005A7440" w:rsidRDefault="005A7440" w:rsidP="00F42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3F" w:rsidRDefault="005A744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9" w:rsidRPr="00BA3A8E" w:rsidRDefault="00654B3F" w:rsidP="00A00889">
    <w:pPr>
      <w:pStyle w:val="Encabezado"/>
      <w:tabs>
        <w:tab w:val="clear" w:pos="4252"/>
        <w:tab w:val="clear" w:pos="8504"/>
        <w:tab w:val="center" w:pos="4987"/>
      </w:tabs>
      <w:rPr>
        <w:rFonts w:ascii="Albertus MT" w:hAnsi="Albertus MT"/>
      </w:rPr>
    </w:pPr>
    <w:r>
      <w:rPr>
        <w:rFonts w:ascii="Albertus MT" w:hAnsi="Albertus MT"/>
        <w:noProof/>
      </w:rPr>
      <w:pict>
        <v:shapetype id="_x0000_t202" coordsize="21600,21600" o:spt="202" path="m,l,21600r21600,l21600,xe">
          <v:stroke joinstyle="miter"/>
          <v:path gradientshapeok="t" o:connecttype="rect"/>
        </v:shapetype>
        <v:shape id="_x0000_s2050" type="#_x0000_t202" style="position:absolute;margin-left:57.3pt;margin-top:-22.7pt;width:335.25pt;height:39.4pt;z-index:251661312;mso-height-percent:200;mso-height-percent:200;mso-width-relative:margin;mso-height-relative:margin" stroked="f">
          <v:textbox style="mso-fit-shape-to-text:t">
            <w:txbxContent>
              <w:p w:rsidR="00A00889" w:rsidRPr="0082474D" w:rsidRDefault="00A00889" w:rsidP="0082474D">
                <w:pPr>
                  <w:jc w:val="center"/>
                  <w:rPr>
                    <w:rFonts w:ascii="Chicago" w:hAnsi="Chicago"/>
                    <w:sz w:val="28"/>
                  </w:rPr>
                </w:pPr>
                <w:r w:rsidRPr="0082474D">
                  <w:rPr>
                    <w:rFonts w:ascii="Chicago" w:hAnsi="Chicago"/>
                    <w:sz w:val="28"/>
                  </w:rPr>
                  <w:t xml:space="preserve">Comisión para el Desarrollo Integral </w:t>
                </w:r>
              </w:p>
              <w:p w:rsidR="00A00889" w:rsidRDefault="00A00889" w:rsidP="0082474D">
                <w:pPr>
                  <w:jc w:val="center"/>
                  <w:rPr>
                    <w:rFonts w:ascii="Chicago" w:hAnsi="Chicago"/>
                    <w:sz w:val="28"/>
                  </w:rPr>
                </w:pPr>
                <w:proofErr w:type="gramStart"/>
                <w:r w:rsidRPr="0082474D">
                  <w:rPr>
                    <w:rFonts w:ascii="Chicago" w:hAnsi="Chicago"/>
                    <w:sz w:val="28"/>
                  </w:rPr>
                  <w:t>de</w:t>
                </w:r>
                <w:proofErr w:type="gramEnd"/>
                <w:r w:rsidRPr="0082474D">
                  <w:rPr>
                    <w:rFonts w:ascii="Chicago" w:hAnsi="Chicago"/>
                    <w:sz w:val="28"/>
                  </w:rPr>
                  <w:t xml:space="preserve"> la Región Sur Sureste</w:t>
                </w:r>
              </w:p>
              <w:p w:rsidR="00A00889" w:rsidRPr="0082474D" w:rsidRDefault="00A00889" w:rsidP="0082474D">
                <w:pPr>
                  <w:jc w:val="center"/>
                  <w:rPr>
                    <w:rFonts w:ascii="Chicago" w:hAnsi="Chicago"/>
                    <w:sz w:val="28"/>
                  </w:rPr>
                </w:pPr>
              </w:p>
            </w:txbxContent>
          </v:textbox>
        </v:shape>
      </w:pict>
    </w:r>
    <w:r w:rsidR="00A00889">
      <w:rPr>
        <w:rFonts w:ascii="Albertus MT" w:hAnsi="Albertus MT"/>
        <w:noProof/>
        <w:lang w:eastAsia="es-ES"/>
      </w:rPr>
      <w:drawing>
        <wp:anchor distT="0" distB="0" distL="114300" distR="114300" simplePos="0" relativeHeight="251658240" behindDoc="1" locked="0" layoutInCell="1" allowOverlap="1">
          <wp:simplePos x="0" y="0"/>
          <wp:positionH relativeFrom="column">
            <wp:posOffset>5452110</wp:posOffset>
          </wp:positionH>
          <wp:positionV relativeFrom="paragraph">
            <wp:posOffset>-126365</wp:posOffset>
          </wp:positionV>
          <wp:extent cx="1362075" cy="542925"/>
          <wp:effectExtent l="19050" t="0" r="9525" b="0"/>
          <wp:wrapNone/>
          <wp:docPr id="8" name="Imagen 6" descr="C:\Documents and Settings\Salim\Mis documentos\Mis imágenes\Logo Con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lim\Mis documentos\Mis imágenes\Logo Conago.png"/>
                  <pic:cNvPicPr>
                    <a:picLocks noChangeAspect="1" noChangeArrowheads="1"/>
                  </pic:cNvPicPr>
                </pic:nvPicPr>
                <pic:blipFill>
                  <a:blip r:embed="rId1"/>
                  <a:srcRect/>
                  <a:stretch>
                    <a:fillRect/>
                  </a:stretch>
                </pic:blipFill>
                <pic:spPr bwMode="auto">
                  <a:xfrm>
                    <a:off x="0" y="0"/>
                    <a:ext cx="1362075" cy="542925"/>
                  </a:xfrm>
                  <a:prstGeom prst="rect">
                    <a:avLst/>
                  </a:prstGeom>
                  <a:noFill/>
                  <a:ln w="9525">
                    <a:noFill/>
                    <a:miter lim="800000"/>
                    <a:headEnd/>
                    <a:tailEnd/>
                  </a:ln>
                </pic:spPr>
              </pic:pic>
            </a:graphicData>
          </a:graphic>
        </wp:anchor>
      </w:drawing>
    </w:r>
    <w:r w:rsidR="00A00889">
      <w:rPr>
        <w:rFonts w:ascii="Albertus MT" w:hAnsi="Albertus MT"/>
        <w:noProof/>
        <w:lang w:eastAsia="es-ES"/>
      </w:rPr>
      <w:drawing>
        <wp:anchor distT="0" distB="0" distL="114300" distR="114300" simplePos="0" relativeHeight="251656192" behindDoc="1" locked="0" layoutInCell="1" allowOverlap="1">
          <wp:simplePos x="0" y="0"/>
          <wp:positionH relativeFrom="column">
            <wp:posOffset>-491490</wp:posOffset>
          </wp:positionH>
          <wp:positionV relativeFrom="paragraph">
            <wp:posOffset>-297815</wp:posOffset>
          </wp:positionV>
          <wp:extent cx="685800" cy="885825"/>
          <wp:effectExtent l="19050" t="0" r="0" b="0"/>
          <wp:wrapNone/>
          <wp:docPr id="6" name="Imagen 1" descr="C:\Documents and Settings\Salim\Mis documentos\Mis imágenes\logo conago_com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lim\Mis documentos\Mis imágenes\logo conago_comision.jpg"/>
                  <pic:cNvPicPr>
                    <a:picLocks noChangeAspect="1" noChangeArrowheads="1"/>
                  </pic:cNvPicPr>
                </pic:nvPicPr>
                <pic:blipFill>
                  <a:blip r:embed="rId2" cstate="print">
                    <a:clrChange>
                      <a:clrFrom>
                        <a:srgbClr val="FFFFFF"/>
                      </a:clrFrom>
                      <a:clrTo>
                        <a:srgbClr val="FFFFFF">
                          <a:alpha val="0"/>
                        </a:srgbClr>
                      </a:clrTo>
                    </a:clrChange>
                  </a:blip>
                  <a:srcRect l="5378" r="41719" b="48360"/>
                  <a:stretch>
                    <a:fillRect/>
                  </a:stretch>
                </pic:blipFill>
                <pic:spPr bwMode="auto">
                  <a:xfrm>
                    <a:off x="0" y="0"/>
                    <a:ext cx="685800" cy="885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C"/>
    <w:multiLevelType w:val="hybridMultilevel"/>
    <w:tmpl w:val="65CE29B8"/>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82F43"/>
    <w:multiLevelType w:val="multilevel"/>
    <w:tmpl w:val="25021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A25AAD"/>
    <w:multiLevelType w:val="hybridMultilevel"/>
    <w:tmpl w:val="FF2E29E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8C57C9"/>
    <w:multiLevelType w:val="multilevel"/>
    <w:tmpl w:val="C52CAFCA"/>
    <w:lvl w:ilvl="0">
      <w:start w:val="1"/>
      <w:numFmt w:val="lowerLetter"/>
      <w:lvlText w:val="%1)"/>
      <w:lvlJc w:val="left"/>
      <w:pPr>
        <w:ind w:left="786" w:hanging="36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nsid w:val="21CB2C59"/>
    <w:multiLevelType w:val="hybridMultilevel"/>
    <w:tmpl w:val="99F007C6"/>
    <w:lvl w:ilvl="0" w:tplc="949E0516">
      <w:start w:val="1"/>
      <w:numFmt w:val="decimal"/>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1B6D19"/>
    <w:multiLevelType w:val="hybridMultilevel"/>
    <w:tmpl w:val="3F8EB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FA475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961155"/>
    <w:multiLevelType w:val="hybridMultilevel"/>
    <w:tmpl w:val="957429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537E19"/>
    <w:multiLevelType w:val="hybridMultilevel"/>
    <w:tmpl w:val="ABE4B58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D72ECB"/>
    <w:multiLevelType w:val="hybridMultilevel"/>
    <w:tmpl w:val="794A76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756215"/>
    <w:multiLevelType w:val="hybridMultilevel"/>
    <w:tmpl w:val="C52CAFCA"/>
    <w:lvl w:ilvl="0" w:tplc="16948E9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70F16F7"/>
    <w:multiLevelType w:val="hybridMultilevel"/>
    <w:tmpl w:val="8E061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122645"/>
    <w:multiLevelType w:val="hybridMultilevel"/>
    <w:tmpl w:val="3956EC12"/>
    <w:lvl w:ilvl="0" w:tplc="5742022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5"/>
  </w:num>
  <w:num w:numId="2">
    <w:abstractNumId w:val="6"/>
  </w:num>
  <w:num w:numId="3">
    <w:abstractNumId w:val="1"/>
  </w:num>
  <w:num w:numId="4">
    <w:abstractNumId w:val="12"/>
  </w:num>
  <w:num w:numId="5">
    <w:abstractNumId w:val="10"/>
  </w:num>
  <w:num w:numId="6">
    <w:abstractNumId w:val="3"/>
  </w:num>
  <w:num w:numId="7">
    <w:abstractNumId w:val="2"/>
  </w:num>
  <w:num w:numId="8">
    <w:abstractNumId w:val="9"/>
  </w:num>
  <w:num w:numId="9">
    <w:abstractNumId w:val="7"/>
  </w:num>
  <w:num w:numId="10">
    <w:abstractNumId w:val="0"/>
  </w:num>
  <w:num w:numId="11">
    <w:abstractNumId w:val="1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colormru v:ext="edit" colors="#89312f"/>
      <o:colormenu v:ext="edit" fillcolor="none [814]" strokecolor="none"/>
    </o:shapedefaults>
    <o:shapelayout v:ext="edit">
      <o:idmap v:ext="edit" data="2"/>
    </o:shapelayout>
  </w:hdrShapeDefaults>
  <w:footnotePr>
    <w:footnote w:id="-1"/>
    <w:footnote w:id="0"/>
  </w:footnotePr>
  <w:endnotePr>
    <w:endnote w:id="-1"/>
    <w:endnote w:id="0"/>
  </w:endnotePr>
  <w:compat/>
  <w:rsids>
    <w:rsidRoot w:val="00597748"/>
    <w:rsid w:val="00041024"/>
    <w:rsid w:val="00044642"/>
    <w:rsid w:val="000A21B5"/>
    <w:rsid w:val="000D057A"/>
    <w:rsid w:val="000D367B"/>
    <w:rsid w:val="001102D4"/>
    <w:rsid w:val="001F1F03"/>
    <w:rsid w:val="00204B63"/>
    <w:rsid w:val="00234E28"/>
    <w:rsid w:val="0024632B"/>
    <w:rsid w:val="002A10BD"/>
    <w:rsid w:val="003F16B6"/>
    <w:rsid w:val="00414D6F"/>
    <w:rsid w:val="00430F09"/>
    <w:rsid w:val="004B7093"/>
    <w:rsid w:val="00586DF2"/>
    <w:rsid w:val="00597748"/>
    <w:rsid w:val="005A7440"/>
    <w:rsid w:val="006127C6"/>
    <w:rsid w:val="00642C56"/>
    <w:rsid w:val="00654B3F"/>
    <w:rsid w:val="00664563"/>
    <w:rsid w:val="006718C8"/>
    <w:rsid w:val="007D12C2"/>
    <w:rsid w:val="007F5C85"/>
    <w:rsid w:val="0082474D"/>
    <w:rsid w:val="00836542"/>
    <w:rsid w:val="008B3769"/>
    <w:rsid w:val="008E53CC"/>
    <w:rsid w:val="009034F8"/>
    <w:rsid w:val="00933911"/>
    <w:rsid w:val="009A70F6"/>
    <w:rsid w:val="00A00889"/>
    <w:rsid w:val="00A3014E"/>
    <w:rsid w:val="00A5520B"/>
    <w:rsid w:val="00A775F6"/>
    <w:rsid w:val="00A83970"/>
    <w:rsid w:val="00AD32AE"/>
    <w:rsid w:val="00AE31FF"/>
    <w:rsid w:val="00BA3A8E"/>
    <w:rsid w:val="00BD773A"/>
    <w:rsid w:val="00BF5452"/>
    <w:rsid w:val="00C916AF"/>
    <w:rsid w:val="00CB36AC"/>
    <w:rsid w:val="00CE744D"/>
    <w:rsid w:val="00DD30E2"/>
    <w:rsid w:val="00DF372D"/>
    <w:rsid w:val="00E05E36"/>
    <w:rsid w:val="00E35681"/>
    <w:rsid w:val="00E949A2"/>
    <w:rsid w:val="00F36E95"/>
    <w:rsid w:val="00F42C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89312f"/>
      <o:colormenu v:ext="edit" fillcolor="none [8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6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74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748"/>
    <w:rPr>
      <w:rFonts w:ascii="Tahoma" w:hAnsi="Tahoma" w:cs="Tahoma"/>
      <w:sz w:val="16"/>
      <w:szCs w:val="16"/>
    </w:rPr>
  </w:style>
  <w:style w:type="paragraph" w:styleId="Encabezado">
    <w:name w:val="header"/>
    <w:basedOn w:val="Normal"/>
    <w:link w:val="EncabezadoCar"/>
    <w:uiPriority w:val="99"/>
    <w:unhideWhenUsed/>
    <w:rsid w:val="00F42C7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2C7F"/>
  </w:style>
  <w:style w:type="paragraph" w:styleId="Piedepgina">
    <w:name w:val="footer"/>
    <w:basedOn w:val="Normal"/>
    <w:link w:val="PiedepginaCar"/>
    <w:uiPriority w:val="99"/>
    <w:unhideWhenUsed/>
    <w:rsid w:val="00F42C7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2C7F"/>
  </w:style>
  <w:style w:type="paragraph" w:styleId="Prrafodelista">
    <w:name w:val="List Paragraph"/>
    <w:basedOn w:val="Normal"/>
    <w:uiPriority w:val="34"/>
    <w:qFormat/>
    <w:rsid w:val="00DD30E2"/>
    <w:pPr>
      <w:ind w:left="720"/>
      <w:contextualSpacing/>
    </w:pPr>
  </w:style>
  <w:style w:type="paragraph" w:styleId="Sinespaciado">
    <w:name w:val="No Spacing"/>
    <w:uiPriority w:val="1"/>
    <w:qFormat/>
    <w:rsid w:val="00430F09"/>
    <w:pPr>
      <w:spacing w:after="0" w:line="240" w:lineRule="auto"/>
    </w:pPr>
  </w:style>
  <w:style w:type="table" w:styleId="Cuadrculamedia3-nfasis2">
    <w:name w:val="Medium Grid 3 Accent 2"/>
    <w:basedOn w:val="Tablanormal"/>
    <w:uiPriority w:val="69"/>
    <w:rsid w:val="00430F0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11067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EC1-7573-41FC-A0F5-AC4B27CA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1404</Words>
  <Characters>7724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Miguel Angel </cp:lastModifiedBy>
  <cp:revision>9</cp:revision>
  <cp:lastPrinted>2010-03-11T19:06:00Z</cp:lastPrinted>
  <dcterms:created xsi:type="dcterms:W3CDTF">2010-03-13T20:43:00Z</dcterms:created>
  <dcterms:modified xsi:type="dcterms:W3CDTF">2010-03-17T21:22:00Z</dcterms:modified>
</cp:coreProperties>
</file>