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2D" w:rsidRDefault="00A4392D" w:rsidP="00A4392D">
      <w:pPr>
        <w:spacing w:before="120" w:after="120"/>
        <w:jc w:val="right"/>
        <w:rPr>
          <w:rFonts w:asciiTheme="minorHAnsi" w:hAnsiTheme="minorHAnsi"/>
          <w:b/>
          <w:color w:val="595959" w:themeColor="text1" w:themeTint="A6"/>
          <w:sz w:val="20"/>
          <w:szCs w:val="20"/>
        </w:rPr>
      </w:pPr>
    </w:p>
    <w:p w:rsidR="00634147" w:rsidRPr="007C6804" w:rsidRDefault="00634147" w:rsidP="00A4392D">
      <w:pPr>
        <w:jc w:val="right"/>
        <w:rPr>
          <w:rFonts w:asciiTheme="minorHAnsi" w:hAnsiTheme="minorHAnsi"/>
          <w:b/>
          <w:color w:val="595959" w:themeColor="text1" w:themeTint="A6"/>
          <w:sz w:val="20"/>
          <w:szCs w:val="20"/>
        </w:rPr>
      </w:pPr>
      <w:r w:rsidRPr="007C6804">
        <w:rPr>
          <w:rFonts w:asciiTheme="minorHAnsi" w:hAnsiTheme="minorHAnsi"/>
          <w:b/>
          <w:color w:val="595959" w:themeColor="text1" w:themeTint="A6"/>
          <w:sz w:val="20"/>
          <w:szCs w:val="20"/>
        </w:rPr>
        <w:t>Conferencia Nacional de Gobernadores</w:t>
      </w:r>
    </w:p>
    <w:p w:rsidR="00634147" w:rsidRPr="007C6804" w:rsidRDefault="00634147" w:rsidP="00A4392D">
      <w:pPr>
        <w:jc w:val="right"/>
        <w:rPr>
          <w:rFonts w:asciiTheme="minorHAnsi" w:hAnsiTheme="minorHAnsi"/>
          <w:b/>
          <w:color w:val="595959" w:themeColor="text1" w:themeTint="A6"/>
          <w:sz w:val="20"/>
          <w:szCs w:val="20"/>
        </w:rPr>
      </w:pPr>
      <w:r w:rsidRPr="007C6804">
        <w:rPr>
          <w:rFonts w:asciiTheme="minorHAnsi" w:hAnsiTheme="minorHAnsi"/>
          <w:b/>
          <w:color w:val="595959" w:themeColor="text1" w:themeTint="A6"/>
          <w:sz w:val="20"/>
          <w:szCs w:val="20"/>
        </w:rPr>
        <w:t>X</w:t>
      </w:r>
      <w:r w:rsidR="00430D07">
        <w:rPr>
          <w:rFonts w:asciiTheme="minorHAnsi" w:hAnsiTheme="minorHAnsi"/>
          <w:b/>
          <w:color w:val="595959" w:themeColor="text1" w:themeTint="A6"/>
          <w:sz w:val="20"/>
          <w:szCs w:val="20"/>
        </w:rPr>
        <w:t>L</w:t>
      </w:r>
      <w:r w:rsidR="000D67FE">
        <w:rPr>
          <w:rFonts w:asciiTheme="minorHAnsi" w:hAnsiTheme="minorHAnsi"/>
          <w:b/>
          <w:color w:val="595959" w:themeColor="text1" w:themeTint="A6"/>
          <w:sz w:val="20"/>
          <w:szCs w:val="20"/>
        </w:rPr>
        <w:t>I</w:t>
      </w:r>
      <w:r w:rsidRPr="007C6804">
        <w:rPr>
          <w:rFonts w:asciiTheme="minorHAnsi" w:hAnsiTheme="minorHAnsi"/>
          <w:b/>
          <w:color w:val="595959" w:themeColor="text1" w:themeTint="A6"/>
          <w:sz w:val="20"/>
          <w:szCs w:val="20"/>
        </w:rPr>
        <w:t xml:space="preserve"> REUNIÓN ORDINARIA</w:t>
      </w:r>
    </w:p>
    <w:p w:rsidR="00A4392D" w:rsidRPr="00A4392D" w:rsidRDefault="00A4392D" w:rsidP="00A4392D">
      <w:pPr>
        <w:spacing w:before="120"/>
        <w:rPr>
          <w:rFonts w:ascii="Arial Black" w:hAnsi="Arial Black"/>
          <w:b/>
          <w:color w:val="7F7F7F" w:themeColor="text1" w:themeTint="80"/>
          <w:sz w:val="20"/>
          <w:szCs w:val="20"/>
        </w:rPr>
      </w:pPr>
      <w:r w:rsidRPr="00A4392D">
        <w:rPr>
          <w:rFonts w:ascii="Arial Black" w:hAnsi="Arial Black"/>
          <w:b/>
          <w:color w:val="7F7F7F" w:themeColor="text1" w:themeTint="80"/>
          <w:sz w:val="20"/>
          <w:szCs w:val="20"/>
        </w:rPr>
        <w:t>RESUMEN EJECUTIVO</w:t>
      </w:r>
    </w:p>
    <w:p w:rsidR="00430D07" w:rsidRDefault="00430D07" w:rsidP="00A4392D">
      <w:pPr>
        <w:spacing w:after="120"/>
        <w:rPr>
          <w:rFonts w:ascii="Arial Black" w:hAnsi="Arial Black"/>
          <w:b/>
          <w:sz w:val="22"/>
          <w:szCs w:val="22"/>
        </w:rPr>
      </w:pPr>
    </w:p>
    <w:p w:rsidR="00634147" w:rsidRPr="00A4392D" w:rsidRDefault="002B5D11" w:rsidP="00A4392D">
      <w:pPr>
        <w:spacing w:after="120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Informe Anual</w:t>
      </w:r>
    </w:p>
    <w:p w:rsidR="00430D07" w:rsidRDefault="00430D07" w:rsidP="00A4392D">
      <w:pPr>
        <w:spacing w:before="240" w:after="120"/>
        <w:rPr>
          <w:rFonts w:asciiTheme="minorHAnsi" w:hAnsiTheme="minorHAnsi"/>
          <w:b/>
          <w:u w:val="single"/>
        </w:rPr>
      </w:pPr>
    </w:p>
    <w:p w:rsidR="00634147" w:rsidRPr="007C6804" w:rsidRDefault="002B5D11" w:rsidP="00A4392D">
      <w:pPr>
        <w:spacing w:before="240" w:after="1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Fundamento</w:t>
      </w:r>
    </w:p>
    <w:p w:rsidR="00E61CC1" w:rsidRDefault="002B5D11" w:rsidP="00E830D3">
      <w:pPr>
        <w:spacing w:before="240" w:after="12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E61CC1">
        <w:rPr>
          <w:rFonts w:asciiTheme="minorHAnsi" w:hAnsiTheme="minorHAnsi" w:cs="Arial"/>
        </w:rPr>
        <w:t>l</w:t>
      </w:r>
      <w:r w:rsidRPr="002B5D11">
        <w:rPr>
          <w:rFonts w:asciiTheme="minorHAnsi" w:hAnsiTheme="minorHAnsi" w:cs="Arial"/>
        </w:rPr>
        <w:t xml:space="preserve"> Artículo 28 Fracción XVI de los Lineamientos que rigen a esta Confere</w:t>
      </w:r>
      <w:r>
        <w:rPr>
          <w:rFonts w:asciiTheme="minorHAnsi" w:hAnsiTheme="minorHAnsi" w:cs="Arial"/>
        </w:rPr>
        <w:t>ncia Nacional de Gobernadores, establece que e</w:t>
      </w:r>
      <w:r w:rsidRPr="002B5D11">
        <w:rPr>
          <w:rFonts w:asciiTheme="minorHAnsi" w:hAnsiTheme="minorHAnsi" w:cs="Arial"/>
        </w:rPr>
        <w:t>l Coordinador de la Comisión de Gobernadores tendrá las atribuciones</w:t>
      </w:r>
      <w:r>
        <w:rPr>
          <w:rFonts w:asciiTheme="minorHAnsi" w:hAnsiTheme="minorHAnsi" w:cs="Arial"/>
        </w:rPr>
        <w:t xml:space="preserve"> para p</w:t>
      </w:r>
      <w:r w:rsidRPr="002B5D11">
        <w:rPr>
          <w:rFonts w:asciiTheme="minorHAnsi" w:hAnsiTheme="minorHAnsi" w:cs="Arial"/>
        </w:rPr>
        <w:t>resentar a consideración del pleno de los Gobernadores el informe anual, así como los informes especiales, que hayan sido aprobados por la Comisión</w:t>
      </w:r>
      <w:r w:rsidR="00E61CC1">
        <w:rPr>
          <w:rFonts w:asciiTheme="minorHAnsi" w:hAnsiTheme="minorHAnsi" w:cs="Arial"/>
        </w:rPr>
        <w:t>.</w:t>
      </w:r>
    </w:p>
    <w:p w:rsidR="00A4392D" w:rsidRPr="00E61CC1" w:rsidRDefault="00E61CC1" w:rsidP="00E830D3">
      <w:pPr>
        <w:spacing w:before="240" w:after="12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2B5D11">
        <w:rPr>
          <w:rFonts w:asciiTheme="minorHAnsi" w:hAnsiTheme="minorHAnsi" w:cs="Arial"/>
        </w:rPr>
        <w:t xml:space="preserve">e igual forma en el Artículo Séptimo Transitorio de </w:t>
      </w:r>
      <w:r>
        <w:rPr>
          <w:rFonts w:asciiTheme="minorHAnsi" w:hAnsiTheme="minorHAnsi" w:cs="Arial"/>
        </w:rPr>
        <w:t>los Lineamientos de la CONAGO se establece que el informe al que se</w:t>
      </w:r>
      <w:r w:rsidR="002B5D11" w:rsidRPr="002B5D11">
        <w:rPr>
          <w:rFonts w:asciiTheme="minorHAnsi" w:hAnsiTheme="minorHAnsi" w:cs="Arial"/>
        </w:rPr>
        <w:t xml:space="preserve"> refiere el Artículo 28 Fracción XVI de </w:t>
      </w:r>
      <w:r>
        <w:rPr>
          <w:rFonts w:asciiTheme="minorHAnsi" w:hAnsiTheme="minorHAnsi" w:cs="Arial"/>
        </w:rPr>
        <w:t>estos</w:t>
      </w:r>
      <w:r w:rsidR="002B5D11" w:rsidRPr="002B5D11">
        <w:rPr>
          <w:rFonts w:asciiTheme="minorHAnsi" w:hAnsiTheme="minorHAnsi" w:cs="Arial"/>
        </w:rPr>
        <w:t xml:space="preserve"> Lineamientos, se presentará durante la primera reunión ordinaria de cada año a partir de 2009</w:t>
      </w:r>
    </w:p>
    <w:p w:rsidR="00430D07" w:rsidRDefault="00430D07" w:rsidP="00A4392D">
      <w:pPr>
        <w:spacing w:before="240" w:after="120"/>
        <w:jc w:val="both"/>
        <w:rPr>
          <w:rFonts w:asciiTheme="minorHAnsi" w:hAnsiTheme="minorHAnsi" w:cs="Arial"/>
          <w:b/>
          <w:u w:val="single"/>
        </w:rPr>
      </w:pPr>
    </w:p>
    <w:p w:rsidR="00634147" w:rsidRPr="007C6804" w:rsidRDefault="00E61CC1" w:rsidP="00A4392D">
      <w:pPr>
        <w:spacing w:before="240" w:after="12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Creación</w:t>
      </w:r>
    </w:p>
    <w:p w:rsidR="00634147" w:rsidRDefault="00E61CC1" w:rsidP="00E830D3">
      <w:pPr>
        <w:spacing w:before="240" w:after="12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 25 de abril de 2008, en la V Reunión Extraordinaria de la Conferencia Nacional de Gobernadores, con fundamento en la fracción IV del Artículo Sexto de los Lineamientos de la CONAGO</w:t>
      </w:r>
      <w:r w:rsidR="00617F5B">
        <w:rPr>
          <w:rFonts w:asciiTheme="minorHAnsi" w:hAnsiTheme="minorHAnsi" w:cs="Arial"/>
        </w:rPr>
        <w:t xml:space="preserve"> se aprueba la creación de la Comisión de Infraestructura.</w:t>
      </w:r>
    </w:p>
    <w:p w:rsidR="00617F5B" w:rsidRDefault="00617F5B" w:rsidP="00E830D3">
      <w:pPr>
        <w:spacing w:before="240" w:after="12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Nombrándose como Coordinador de esta Comisión al Químico Andrés Rafael Granier Melo, Gobernador del Estado de Tabasco y como Vice Coordinador al Licenciado Enrique Peña Nieto, Gobernador del Estado de México.</w:t>
      </w:r>
    </w:p>
    <w:p w:rsidR="00617F5B" w:rsidRDefault="00617F5B" w:rsidP="00E830D3">
      <w:pPr>
        <w:spacing w:before="240" w:after="12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Esta Comisión se dividió en 5 Coordinaciones Regionales, para su operatividad, dividiéndose el país en la Región Centro-País, Coordinada por Hidalgo, la Región Centro- Occidente, Coordinada por Nayarit, Sur-Sureste, la cual Coordina el Estado de Campeche, la Región Nor-Este, Coordinada por Coahuila y la Nor-Oeste, Coordinada por Sinaloa.</w:t>
      </w:r>
    </w:p>
    <w:p w:rsidR="00617F5B" w:rsidRDefault="00617F5B" w:rsidP="00A4392D">
      <w:pPr>
        <w:spacing w:before="240" w:after="120"/>
        <w:jc w:val="both"/>
        <w:rPr>
          <w:rFonts w:asciiTheme="minorHAnsi" w:hAnsiTheme="minorHAnsi" w:cs="Arial"/>
          <w:b/>
          <w:u w:val="single"/>
        </w:rPr>
      </w:pPr>
    </w:p>
    <w:p w:rsidR="00430D07" w:rsidRDefault="00430D07" w:rsidP="00A4392D">
      <w:pPr>
        <w:spacing w:before="240" w:after="120"/>
        <w:jc w:val="both"/>
        <w:rPr>
          <w:rFonts w:asciiTheme="minorHAnsi" w:hAnsiTheme="minorHAnsi" w:cs="Arial"/>
          <w:b/>
          <w:u w:val="single"/>
        </w:rPr>
      </w:pPr>
    </w:p>
    <w:p w:rsidR="00430D07" w:rsidRDefault="00430D07" w:rsidP="00A4392D">
      <w:pPr>
        <w:spacing w:before="240" w:after="120"/>
        <w:jc w:val="both"/>
        <w:rPr>
          <w:rFonts w:asciiTheme="minorHAnsi" w:hAnsiTheme="minorHAnsi" w:cs="Arial"/>
          <w:b/>
          <w:u w:val="single"/>
        </w:rPr>
      </w:pPr>
    </w:p>
    <w:p w:rsidR="00430D07" w:rsidRDefault="00430D07" w:rsidP="00A4392D">
      <w:pPr>
        <w:spacing w:before="240" w:after="120"/>
        <w:jc w:val="both"/>
        <w:rPr>
          <w:rFonts w:asciiTheme="minorHAnsi" w:hAnsiTheme="minorHAnsi" w:cs="Arial"/>
          <w:b/>
          <w:u w:val="single"/>
        </w:rPr>
      </w:pPr>
    </w:p>
    <w:p w:rsidR="00634147" w:rsidRPr="007C6804" w:rsidRDefault="00617F5B" w:rsidP="00A4392D">
      <w:pPr>
        <w:spacing w:before="240" w:after="12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Actividades</w:t>
      </w:r>
    </w:p>
    <w:p w:rsidR="00E830D3" w:rsidRDefault="000C13CB" w:rsidP="00E830D3">
      <w:pPr>
        <w:spacing w:before="240" w:after="12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Durante el año 2010, l</w:t>
      </w:r>
      <w:r w:rsidR="00617F5B">
        <w:rPr>
          <w:rFonts w:asciiTheme="minorHAnsi" w:hAnsiTheme="minorHAnsi" w:cs="Arial"/>
        </w:rPr>
        <w:t>a Coordinación d</w:t>
      </w:r>
      <w:r>
        <w:rPr>
          <w:rFonts w:asciiTheme="minorHAnsi" w:hAnsiTheme="minorHAnsi" w:cs="Arial"/>
        </w:rPr>
        <w:t>e</w:t>
      </w:r>
      <w:r w:rsidR="00E830D3">
        <w:rPr>
          <w:rFonts w:asciiTheme="minorHAnsi" w:hAnsiTheme="minorHAnsi" w:cs="Arial"/>
        </w:rPr>
        <w:t xml:space="preserve"> la Comisión de Infraestructura ha realizado las siguientes actividades.</w:t>
      </w:r>
    </w:p>
    <w:p w:rsidR="002B6F95" w:rsidRPr="002B6F95" w:rsidRDefault="000C13CB" w:rsidP="002B6F95">
      <w:pPr>
        <w:spacing w:line="360" w:lineRule="auto"/>
        <w:jc w:val="both"/>
        <w:rPr>
          <w:rFonts w:asciiTheme="minorHAnsi" w:hAnsiTheme="minorHAnsi" w:cs="Arial"/>
          <w:sz w:val="22"/>
          <w:lang w:val="es-ES"/>
        </w:rPr>
      </w:pPr>
      <w:r>
        <w:rPr>
          <w:rFonts w:asciiTheme="minorHAnsi" w:hAnsiTheme="minorHAnsi" w:cs="Arial"/>
          <w:sz w:val="22"/>
          <w:lang w:val="es-ES"/>
        </w:rPr>
        <w:t>4</w:t>
      </w:r>
      <w:r w:rsidR="002B6F95" w:rsidRPr="002B6F95">
        <w:rPr>
          <w:rFonts w:asciiTheme="minorHAnsi" w:hAnsiTheme="minorHAnsi" w:cs="Arial"/>
          <w:sz w:val="22"/>
          <w:lang w:val="es-ES"/>
        </w:rPr>
        <w:t xml:space="preserve"> Reuniones Regionales</w:t>
      </w:r>
    </w:p>
    <w:p w:rsidR="002B6F95" w:rsidRDefault="000C13CB" w:rsidP="002B6F95">
      <w:pPr>
        <w:spacing w:line="360" w:lineRule="auto"/>
        <w:jc w:val="both"/>
        <w:rPr>
          <w:rFonts w:ascii="Frutiger 45 Light" w:hAnsi="Frutiger 45 Light" w:cs="Arial"/>
          <w:sz w:val="22"/>
          <w:lang w:val="es-ES"/>
        </w:rPr>
      </w:pPr>
      <w:r>
        <w:rPr>
          <w:rFonts w:asciiTheme="minorHAnsi" w:hAnsiTheme="minorHAnsi" w:cs="Arial"/>
          <w:sz w:val="22"/>
          <w:lang w:val="es-ES"/>
        </w:rPr>
        <w:t>1 Reunió</w:t>
      </w:r>
      <w:r w:rsidR="002B6F95" w:rsidRPr="002B6F95">
        <w:rPr>
          <w:rFonts w:asciiTheme="minorHAnsi" w:hAnsiTheme="minorHAnsi" w:cs="Arial"/>
          <w:sz w:val="22"/>
          <w:lang w:val="es-ES"/>
        </w:rPr>
        <w:t>n con la Cámara Mexicana de la Industria de la Construcción</w:t>
      </w:r>
    </w:p>
    <w:p w:rsidR="00634147" w:rsidRPr="00634147" w:rsidRDefault="00E830D3" w:rsidP="00A4392D">
      <w:pPr>
        <w:spacing w:before="240" w:after="12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Acuerdos</w:t>
      </w:r>
    </w:p>
    <w:p w:rsidR="00802285" w:rsidRDefault="00E830D3" w:rsidP="00E830D3">
      <w:pPr>
        <w:spacing w:before="240" w:after="12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Estas reuniones han dado como resultado </w:t>
      </w:r>
      <w:r w:rsidR="00802285">
        <w:rPr>
          <w:rFonts w:asciiTheme="minorHAnsi" w:hAnsiTheme="minorHAnsi" w:cs="Arial"/>
        </w:rPr>
        <w:t xml:space="preserve">dos temas relevantes a tratar; </w:t>
      </w:r>
      <w:r>
        <w:rPr>
          <w:rFonts w:asciiTheme="minorHAnsi" w:hAnsiTheme="minorHAnsi" w:cs="Arial"/>
        </w:rPr>
        <w:t xml:space="preserve">el primero </w:t>
      </w:r>
      <w:r w:rsidR="00802285">
        <w:rPr>
          <w:rFonts w:asciiTheme="minorHAnsi" w:hAnsiTheme="minorHAnsi" w:cs="Arial"/>
        </w:rPr>
        <w:t>se refiere al Acuerdo de generar un pronunciamiento conjunto con l</w:t>
      </w:r>
      <w:r w:rsidR="0079660F">
        <w:rPr>
          <w:rFonts w:asciiTheme="minorHAnsi" w:hAnsiTheme="minorHAnsi" w:cs="Arial"/>
        </w:rPr>
        <w:t>a</w:t>
      </w:r>
      <w:r w:rsidR="00802285">
        <w:rPr>
          <w:rFonts w:asciiTheme="minorHAnsi" w:hAnsiTheme="minorHAnsi" w:cs="Arial"/>
        </w:rPr>
        <w:t xml:space="preserve"> Comisión del Sur-Sureste, </w:t>
      </w:r>
      <w:r w:rsidR="0079660F">
        <w:rPr>
          <w:rFonts w:asciiTheme="minorHAnsi" w:hAnsiTheme="minorHAnsi" w:cs="Arial"/>
        </w:rPr>
        <w:t xml:space="preserve">ante el Ejecutivo federal y la Cámara de Diputados del Congreso de la Unión; </w:t>
      </w:r>
      <w:r w:rsidR="00802285">
        <w:rPr>
          <w:rFonts w:asciiTheme="minorHAnsi" w:hAnsiTheme="minorHAnsi" w:cs="Arial"/>
        </w:rPr>
        <w:t xml:space="preserve">con la finalidad de fijar la posición de las Entidades Federativas </w:t>
      </w:r>
      <w:r w:rsidR="0079660F">
        <w:rPr>
          <w:rFonts w:asciiTheme="minorHAnsi" w:hAnsiTheme="minorHAnsi" w:cs="Arial"/>
        </w:rPr>
        <w:t>en</w:t>
      </w:r>
      <w:r w:rsidR="00802285">
        <w:rPr>
          <w:rFonts w:asciiTheme="minorHAnsi" w:hAnsiTheme="minorHAnsi" w:cs="Arial"/>
        </w:rPr>
        <w:t xml:space="preserve"> la integració</w:t>
      </w:r>
      <w:r w:rsidR="007817F1">
        <w:rPr>
          <w:rFonts w:asciiTheme="minorHAnsi" w:hAnsiTheme="minorHAnsi" w:cs="Arial"/>
        </w:rPr>
        <w:t xml:space="preserve">n del Presupuesto Federal 2011, </w:t>
      </w:r>
      <w:r w:rsidR="00802285">
        <w:rPr>
          <w:rFonts w:asciiTheme="minorHAnsi" w:hAnsiTheme="minorHAnsi" w:cs="Arial"/>
        </w:rPr>
        <w:t xml:space="preserve">así como la </w:t>
      </w:r>
      <w:r w:rsidR="004B7F94">
        <w:rPr>
          <w:rFonts w:asciiTheme="minorHAnsi" w:hAnsiTheme="minorHAnsi" w:cs="Arial"/>
        </w:rPr>
        <w:t>supresión</w:t>
      </w:r>
      <w:r w:rsidR="00802285">
        <w:rPr>
          <w:rFonts w:asciiTheme="minorHAnsi" w:hAnsiTheme="minorHAnsi" w:cs="Arial"/>
        </w:rPr>
        <w:t xml:space="preserve"> de los </w:t>
      </w:r>
      <w:r w:rsidR="004B7F94">
        <w:rPr>
          <w:rFonts w:asciiTheme="minorHAnsi" w:hAnsiTheme="minorHAnsi" w:cs="Arial"/>
        </w:rPr>
        <w:t>p</w:t>
      </w:r>
      <w:r w:rsidR="00802285">
        <w:rPr>
          <w:rFonts w:asciiTheme="minorHAnsi" w:hAnsiTheme="minorHAnsi" w:cs="Arial"/>
        </w:rPr>
        <w:t>ari passus del Fondo Nacional de Desastres naturales, entre otros y que a continuación se enlistan:</w:t>
      </w:r>
    </w:p>
    <w:p w:rsidR="0079660F" w:rsidRPr="0079660F" w:rsidRDefault="0079660F" w:rsidP="0079660F">
      <w:pPr>
        <w:jc w:val="both"/>
        <w:rPr>
          <w:rFonts w:asciiTheme="minorHAnsi" w:hAnsiTheme="minorHAnsi"/>
        </w:rPr>
      </w:pPr>
      <w:r w:rsidRPr="0079660F">
        <w:rPr>
          <w:rFonts w:asciiTheme="minorHAnsi" w:hAnsiTheme="minorHAnsi"/>
          <w:b/>
          <w:bCs/>
        </w:rPr>
        <w:t>Primero:</w:t>
      </w:r>
      <w:r w:rsidRPr="0079660F">
        <w:rPr>
          <w:rFonts w:asciiTheme="minorHAnsi" w:hAnsiTheme="minorHAnsi"/>
        </w:rPr>
        <w:t xml:space="preserve"> Restablecer el techo presupuestal necesario para el desarrollo de la infraestructura carretera e hidráulica en 2011, como mínimo con los mismos montos de este 2010.</w:t>
      </w:r>
    </w:p>
    <w:p w:rsidR="0079660F" w:rsidRPr="0079660F" w:rsidRDefault="0079660F" w:rsidP="0079660F">
      <w:pPr>
        <w:jc w:val="both"/>
        <w:rPr>
          <w:rFonts w:asciiTheme="minorHAnsi" w:hAnsiTheme="minorHAnsi"/>
        </w:rPr>
      </w:pPr>
      <w:r w:rsidRPr="0079660F">
        <w:rPr>
          <w:rFonts w:asciiTheme="minorHAnsi" w:hAnsiTheme="minorHAnsi"/>
          <w:b/>
          <w:bCs/>
        </w:rPr>
        <w:t>Segundo:</w:t>
      </w:r>
      <w:r w:rsidRPr="0079660F">
        <w:rPr>
          <w:rFonts w:asciiTheme="minorHAnsi" w:hAnsiTheme="minorHAnsi"/>
        </w:rPr>
        <w:t xml:space="preserve"> Impulsar la iniciativa para suprimir el pago de pari passus en aquellos casos en que se declare emergencia por desastres naturales en las entidades federativas, o bien garantizar que el financiamiento disponible anunciado por Banobras (20 mil millones de pesos) tenga condiciones adecuadas y pueda ser destinado a cubrir pari passus.</w:t>
      </w:r>
    </w:p>
    <w:p w:rsidR="0079660F" w:rsidRPr="0079660F" w:rsidRDefault="0079660F" w:rsidP="0079660F">
      <w:pPr>
        <w:jc w:val="both"/>
        <w:rPr>
          <w:rFonts w:asciiTheme="minorHAnsi" w:hAnsiTheme="minorHAnsi"/>
        </w:rPr>
      </w:pPr>
      <w:r w:rsidRPr="0079660F">
        <w:rPr>
          <w:rFonts w:asciiTheme="minorHAnsi" w:hAnsiTheme="minorHAnsi"/>
          <w:b/>
          <w:bCs/>
        </w:rPr>
        <w:t>Tercero:</w:t>
      </w:r>
      <w:r w:rsidRPr="0079660F">
        <w:rPr>
          <w:rFonts w:asciiTheme="minorHAnsi" w:hAnsiTheme="minorHAnsi"/>
        </w:rPr>
        <w:t xml:space="preserve"> Establecer Reglas de Operación de fondos y convenios más flexibles y favorables a la ejecución del gasto en inversión. </w:t>
      </w:r>
    </w:p>
    <w:p w:rsidR="0079660F" w:rsidRPr="0079660F" w:rsidRDefault="0079660F" w:rsidP="0079660F">
      <w:pPr>
        <w:jc w:val="both"/>
        <w:rPr>
          <w:rFonts w:asciiTheme="minorHAnsi" w:hAnsiTheme="minorHAnsi"/>
        </w:rPr>
      </w:pPr>
      <w:r w:rsidRPr="0079660F">
        <w:rPr>
          <w:rFonts w:asciiTheme="minorHAnsi" w:hAnsiTheme="minorHAnsi"/>
          <w:b/>
          <w:bCs/>
        </w:rPr>
        <w:t>Cuarto:</w:t>
      </w:r>
      <w:r w:rsidRPr="0079660F">
        <w:rPr>
          <w:rFonts w:asciiTheme="minorHAnsi" w:hAnsiTheme="minorHAnsi"/>
        </w:rPr>
        <w:t xml:space="preserve"> Reformar la Ley Federal de Derecho de Vías, la Ley de Procedimientos Administrativos, la Ley de Amparo, la Ley Agraria y demás normatividad aplicable, a fin de agilizar y facilitar la construcción y ampliación de la infraestructura para proceder a la ocupación inmediata de los inmuebles y áreas con la contraprestación de la indemnización correspondiente basada en el avalúo respectivo. </w:t>
      </w:r>
    </w:p>
    <w:p w:rsidR="0079660F" w:rsidRPr="0079660F" w:rsidRDefault="0079660F" w:rsidP="0079660F">
      <w:pPr>
        <w:jc w:val="both"/>
        <w:rPr>
          <w:rFonts w:asciiTheme="minorHAnsi" w:hAnsiTheme="minorHAnsi"/>
        </w:rPr>
      </w:pPr>
      <w:r w:rsidRPr="0079660F">
        <w:rPr>
          <w:rFonts w:asciiTheme="minorHAnsi" w:hAnsiTheme="minorHAnsi"/>
          <w:b/>
          <w:bCs/>
        </w:rPr>
        <w:t xml:space="preserve">Quinto: </w:t>
      </w:r>
      <w:r w:rsidRPr="0079660F">
        <w:rPr>
          <w:rFonts w:asciiTheme="minorHAnsi" w:hAnsiTheme="minorHAnsi"/>
        </w:rPr>
        <w:t>Crear el Fondo Nacional de Reconstrucción en apoyo a las entidades federativas afectadas por los fenómenos naturales de este año y su permanencia en los próximos ejercicios presupuestales.</w:t>
      </w:r>
    </w:p>
    <w:p w:rsidR="0079660F" w:rsidRPr="0079660F" w:rsidRDefault="0079660F" w:rsidP="0079660F">
      <w:pPr>
        <w:jc w:val="both"/>
        <w:rPr>
          <w:rFonts w:asciiTheme="minorHAnsi" w:hAnsiTheme="minorHAnsi"/>
          <w:lang w:val="es-ES"/>
        </w:rPr>
      </w:pPr>
      <w:r w:rsidRPr="0079660F">
        <w:rPr>
          <w:rFonts w:asciiTheme="minorHAnsi" w:hAnsiTheme="minorHAnsi"/>
          <w:b/>
        </w:rPr>
        <w:t xml:space="preserve">Sexto: </w:t>
      </w:r>
      <w:r w:rsidRPr="0079660F">
        <w:rPr>
          <w:rFonts w:asciiTheme="minorHAnsi" w:hAnsiTheme="minorHAnsi"/>
        </w:rPr>
        <w:t>Estructurar un programa de inversión multianual que fortalezca el desarrollo de las obras de gran  impacto.</w:t>
      </w:r>
    </w:p>
    <w:p w:rsidR="0079660F" w:rsidRPr="0079660F" w:rsidRDefault="0079660F" w:rsidP="0079660F">
      <w:pPr>
        <w:jc w:val="both"/>
        <w:rPr>
          <w:rFonts w:asciiTheme="minorHAnsi" w:hAnsiTheme="minorHAnsi"/>
          <w:lang w:val="es-ES"/>
        </w:rPr>
      </w:pPr>
      <w:r w:rsidRPr="0079660F">
        <w:rPr>
          <w:rFonts w:asciiTheme="minorHAnsi" w:hAnsiTheme="minorHAnsi"/>
        </w:rPr>
        <w:t xml:space="preserve">De la misma forma, reiteramos las siguientes solicitudes hechas en octubre de 2009, en el marco de la reunión Ejecutiva de la Comisión de Infraestructura de esta Conferencia: </w:t>
      </w:r>
    </w:p>
    <w:p w:rsidR="0079660F" w:rsidRPr="0079660F" w:rsidRDefault="0079660F" w:rsidP="0079660F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lang w:val="es-ES"/>
        </w:rPr>
      </w:pPr>
      <w:r w:rsidRPr="0079660F">
        <w:rPr>
          <w:rFonts w:asciiTheme="minorHAnsi" w:hAnsiTheme="minorHAnsi"/>
        </w:rPr>
        <w:t>Generar convenios de transferencia de recursos hacia los estados, para la ejecución de programas y proyectos de origen federal.</w:t>
      </w:r>
    </w:p>
    <w:p w:rsidR="0079660F" w:rsidRPr="0079660F" w:rsidRDefault="0079660F" w:rsidP="0079660F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79660F">
        <w:rPr>
          <w:rFonts w:asciiTheme="minorHAnsi" w:hAnsiTheme="minorHAnsi"/>
        </w:rPr>
        <w:t>Garantizar que de cada peso invertido en grandes obras de infraestructura, tres centavos se destinen a mejorar el entorno urbano y rural en las comunidades y municipios involucrados.</w:t>
      </w:r>
    </w:p>
    <w:p w:rsidR="0079660F" w:rsidRPr="0079660F" w:rsidRDefault="0079660F" w:rsidP="0079660F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lang w:val="es-ES"/>
        </w:rPr>
      </w:pPr>
      <w:r w:rsidRPr="0079660F">
        <w:rPr>
          <w:rFonts w:asciiTheme="minorHAnsi" w:hAnsiTheme="minorHAnsi"/>
        </w:rPr>
        <w:lastRenderedPageBreak/>
        <w:t>Impulsar una modificación a la Ley de Presupuesto y Responsabilidad Hacendaria que permita ampliar recursos y alcances de los proyectos para la prestación de servicios (PPS).</w:t>
      </w:r>
    </w:p>
    <w:p w:rsidR="0079660F" w:rsidRPr="0079660F" w:rsidRDefault="0079660F" w:rsidP="0079660F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lang w:val="es-ES"/>
        </w:rPr>
      </w:pPr>
      <w:r w:rsidRPr="0079660F">
        <w:rPr>
          <w:rFonts w:asciiTheme="minorHAnsi" w:hAnsiTheme="minorHAnsi"/>
        </w:rPr>
        <w:t>Establecer en el Presupuesto de Egresos Federal, la obligación de las dependencias federales de firmar con las entidades federativas convenios de reasignación y colaboración de recursos para evitar subejercicios.</w:t>
      </w:r>
    </w:p>
    <w:p w:rsidR="0079660F" w:rsidRPr="009348A5" w:rsidRDefault="0079660F" w:rsidP="0079660F">
      <w:pPr>
        <w:jc w:val="both"/>
        <w:rPr>
          <w:rFonts w:asciiTheme="minorHAnsi" w:hAnsiTheme="minorHAnsi"/>
          <w:sz w:val="28"/>
          <w:lang w:val="es-ES"/>
        </w:rPr>
      </w:pPr>
    </w:p>
    <w:p w:rsidR="00E830D3" w:rsidRPr="007C6804" w:rsidRDefault="0079660F" w:rsidP="00E830D3">
      <w:pPr>
        <w:spacing w:before="24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lang w:val="es-ES"/>
        </w:rPr>
        <w:t xml:space="preserve">El otro tema en que se ha seguido trabajando en forma directa es con </w:t>
      </w:r>
      <w:r w:rsidR="00E830D3">
        <w:rPr>
          <w:rFonts w:asciiTheme="minorHAnsi" w:hAnsiTheme="minorHAnsi" w:cs="Arial"/>
        </w:rPr>
        <w:t xml:space="preserve">la Cámara Mexicana de la Industria de la Construcción para la firma de un  Acuerdo Marco, </w:t>
      </w:r>
      <w:r w:rsidR="004B7F94">
        <w:rPr>
          <w:rFonts w:asciiTheme="minorHAnsi" w:hAnsiTheme="minorHAnsi" w:cs="Arial"/>
        </w:rPr>
        <w:t xml:space="preserve">para que adicional al acuerdo original </w:t>
      </w:r>
      <w:r w:rsidR="00E830D3">
        <w:rPr>
          <w:rFonts w:asciiTheme="minorHAnsi" w:hAnsiTheme="minorHAnsi" w:cs="Arial"/>
        </w:rPr>
        <w:t>que sus afiliados aporten el 5 al millar de cada obra que se haga con recursos estatales, para financiamiento del Banco Nacional de Proyecto</w:t>
      </w:r>
      <w:r w:rsidR="004B7F94">
        <w:rPr>
          <w:rFonts w:asciiTheme="minorHAnsi" w:hAnsiTheme="minorHAnsi" w:cs="Arial"/>
        </w:rPr>
        <w:t>, se realice una aportación para obras sociales</w:t>
      </w:r>
      <w:r>
        <w:rPr>
          <w:rFonts w:asciiTheme="minorHAnsi" w:hAnsiTheme="minorHAnsi" w:cs="Arial"/>
        </w:rPr>
        <w:t xml:space="preserve"> en cada Entidad Federativa</w:t>
      </w:r>
      <w:r w:rsidR="00E830D3">
        <w:rPr>
          <w:rFonts w:asciiTheme="minorHAnsi" w:hAnsiTheme="minorHAnsi" w:cs="Arial"/>
        </w:rPr>
        <w:t>.</w:t>
      </w:r>
    </w:p>
    <w:sectPr w:rsidR="00E830D3" w:rsidRPr="007C6804" w:rsidSect="00992C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EB" w:rsidRDefault="009A40EB" w:rsidP="00A4392D">
      <w:r>
        <w:separator/>
      </w:r>
    </w:p>
  </w:endnote>
  <w:endnote w:type="continuationSeparator" w:id="1">
    <w:p w:rsidR="009A40EB" w:rsidRDefault="009A40EB" w:rsidP="00A43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EB" w:rsidRDefault="009A40EB" w:rsidP="00A4392D">
      <w:r>
        <w:separator/>
      </w:r>
    </w:p>
  </w:footnote>
  <w:footnote w:type="continuationSeparator" w:id="1">
    <w:p w:rsidR="009A40EB" w:rsidRDefault="009A40EB" w:rsidP="00A43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2D" w:rsidRPr="00A4392D" w:rsidRDefault="00A4392D" w:rsidP="00A4392D">
    <w:pPr>
      <w:rPr>
        <w:rFonts w:ascii="Arial Black" w:hAnsi="Arial Black"/>
        <w:b/>
        <w:color w:val="7F7F7F" w:themeColor="text1" w:themeTint="80"/>
        <w:sz w:val="18"/>
        <w:szCs w:val="18"/>
      </w:rPr>
    </w:pPr>
    <w:r w:rsidRPr="00A4392D">
      <w:rPr>
        <w:rFonts w:ascii="Arial Black" w:hAnsi="Arial Black"/>
        <w:b/>
        <w:color w:val="7F7F7F" w:themeColor="text1" w:themeTint="80"/>
        <w:sz w:val="18"/>
        <w:szCs w:val="18"/>
      </w:rPr>
      <w:t>Iniciativa para la implementación del</w:t>
    </w:r>
  </w:p>
  <w:p w:rsidR="00A4392D" w:rsidRDefault="002B5D11" w:rsidP="00A4392D">
    <w:pPr>
      <w:pStyle w:val="Encabezado"/>
    </w:pPr>
    <w:r>
      <w:rPr>
        <w:rFonts w:ascii="Arial Black" w:hAnsi="Arial Black"/>
        <w:b/>
        <w:color w:val="595959" w:themeColor="text1" w:themeTint="A6"/>
        <w:sz w:val="20"/>
        <w:szCs w:val="20"/>
      </w:rPr>
      <w:t>Informe Anual</w:t>
    </w:r>
    <w:r w:rsidR="00A4392D">
      <w:rPr>
        <w:noProof/>
        <w:lang w:eastAsia="es-MX"/>
      </w:rPr>
      <w:t xml:space="preserve"> </w:t>
    </w:r>
    <w:r w:rsidR="00A4392D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-240030</wp:posOffset>
          </wp:positionV>
          <wp:extent cx="1438275" cy="619125"/>
          <wp:effectExtent l="19050" t="0" r="9525" b="0"/>
          <wp:wrapTight wrapText="bothSides">
            <wp:wrapPolygon edited="0">
              <wp:start x="-286" y="0"/>
              <wp:lineTo x="-286" y="21268"/>
              <wp:lineTo x="21743" y="21268"/>
              <wp:lineTo x="21743" y="0"/>
              <wp:lineTo x="-286" y="0"/>
            </wp:wrapPolygon>
          </wp:wrapTight>
          <wp:docPr id="1" name="Imagen 1" descr="Logos_com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_com.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5279" r="50000" b="6944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AF6"/>
    <w:multiLevelType w:val="hybridMultilevel"/>
    <w:tmpl w:val="54B2B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C1609"/>
    <w:multiLevelType w:val="hybridMultilevel"/>
    <w:tmpl w:val="82E05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380B"/>
    <w:multiLevelType w:val="hybridMultilevel"/>
    <w:tmpl w:val="7B62F3C6"/>
    <w:lvl w:ilvl="0" w:tplc="0C0A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4147"/>
    <w:rsid w:val="000C13CB"/>
    <w:rsid w:val="000D67FE"/>
    <w:rsid w:val="0017417A"/>
    <w:rsid w:val="002943B1"/>
    <w:rsid w:val="002B5D11"/>
    <w:rsid w:val="002B6F95"/>
    <w:rsid w:val="002D3AB3"/>
    <w:rsid w:val="00430D07"/>
    <w:rsid w:val="004B7F94"/>
    <w:rsid w:val="004F00E2"/>
    <w:rsid w:val="00544E79"/>
    <w:rsid w:val="00545C77"/>
    <w:rsid w:val="00602678"/>
    <w:rsid w:val="00617F5B"/>
    <w:rsid w:val="00634147"/>
    <w:rsid w:val="0070312D"/>
    <w:rsid w:val="007817F1"/>
    <w:rsid w:val="0079660F"/>
    <w:rsid w:val="00802285"/>
    <w:rsid w:val="00880518"/>
    <w:rsid w:val="008D712D"/>
    <w:rsid w:val="008F101B"/>
    <w:rsid w:val="00992CAE"/>
    <w:rsid w:val="009A40EB"/>
    <w:rsid w:val="00A4392D"/>
    <w:rsid w:val="00A62859"/>
    <w:rsid w:val="00A66088"/>
    <w:rsid w:val="00CD2652"/>
    <w:rsid w:val="00D8688A"/>
    <w:rsid w:val="00DE6022"/>
    <w:rsid w:val="00E61CC1"/>
    <w:rsid w:val="00E70AB3"/>
    <w:rsid w:val="00E830D3"/>
    <w:rsid w:val="00EF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439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92D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A439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92D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2B6F95"/>
    <w:pPr>
      <w:ind w:left="708"/>
    </w:pPr>
    <w:rPr>
      <w:rFonts w:ascii="Arial" w:hAnsi="Arial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Ing. Salvador Cerna</cp:lastModifiedBy>
  <cp:revision>12</cp:revision>
  <dcterms:created xsi:type="dcterms:W3CDTF">2009-03-19T22:13:00Z</dcterms:created>
  <dcterms:modified xsi:type="dcterms:W3CDTF">2011-04-28T19:13:00Z</dcterms:modified>
</cp:coreProperties>
</file>