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85E" w:rsidRDefault="000A285E" w:rsidP="00554B8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20E25" w:rsidRPr="006C5B5E" w:rsidRDefault="00120E25" w:rsidP="00554B8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>CONFERENCIA NACIONAL DE GOBERNADORES</w:t>
      </w:r>
    </w:p>
    <w:p w:rsidR="00120E25" w:rsidRPr="006C5B5E" w:rsidRDefault="00120E25" w:rsidP="00554B8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>INSTITUTO NACIONAL DE LAS PERSONAS ADULTAS MAYORES</w:t>
      </w:r>
    </w:p>
    <w:p w:rsidR="00E34F8E" w:rsidRPr="006C5B5E" w:rsidRDefault="00120E25" w:rsidP="00554B8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 xml:space="preserve">PROPUESTA DE </w:t>
      </w:r>
      <w:r w:rsidR="007E3C56" w:rsidRPr="006C5B5E">
        <w:rPr>
          <w:rFonts w:ascii="Arial" w:hAnsi="Arial" w:cs="Arial"/>
          <w:b/>
          <w:sz w:val="24"/>
          <w:szCs w:val="24"/>
        </w:rPr>
        <w:t>ACUERDO</w:t>
      </w:r>
    </w:p>
    <w:p w:rsidR="00554B82" w:rsidRPr="006C5B5E" w:rsidRDefault="007E3C56" w:rsidP="008B6BCF">
      <w:pPr>
        <w:pStyle w:val="Sinespaciado"/>
        <w:jc w:val="right"/>
        <w:rPr>
          <w:rFonts w:ascii="Arial" w:hAnsi="Arial" w:cs="Arial"/>
          <w:i/>
          <w:sz w:val="24"/>
          <w:szCs w:val="24"/>
        </w:rPr>
      </w:pPr>
      <w:r w:rsidRPr="006C5B5E">
        <w:rPr>
          <w:rFonts w:ascii="Arial" w:hAnsi="Arial" w:cs="Arial"/>
          <w:i/>
          <w:sz w:val="24"/>
          <w:szCs w:val="24"/>
        </w:rPr>
        <w:t>Julio de 2015</w:t>
      </w:r>
    </w:p>
    <w:p w:rsidR="007E3C56" w:rsidRPr="006C5B5E" w:rsidRDefault="007E3C56" w:rsidP="008B6BCF">
      <w:pPr>
        <w:pStyle w:val="Sinespaciado"/>
        <w:jc w:val="right"/>
        <w:rPr>
          <w:rFonts w:ascii="Arial" w:hAnsi="Arial" w:cs="Arial"/>
          <w:sz w:val="24"/>
          <w:szCs w:val="24"/>
        </w:rPr>
      </w:pPr>
    </w:p>
    <w:p w:rsidR="007E3C56" w:rsidRPr="006C5B5E" w:rsidRDefault="007E3C56" w:rsidP="007E3C56">
      <w:pPr>
        <w:pStyle w:val="Sinespaciado"/>
        <w:pBdr>
          <w:bottom w:val="single" w:sz="4" w:space="1" w:color="auto"/>
        </w:pBdr>
        <w:jc w:val="right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>ANTECEDENTES</w:t>
      </w: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México está enfrentando transformaciones políticas, económicas y sociales que tienen implicaciones demográficas y culturales propias de un país en desarrollo.</w:t>
      </w:r>
      <w:r w:rsidR="00E23944" w:rsidRPr="006C5B5E">
        <w:rPr>
          <w:rFonts w:ascii="Arial" w:hAnsi="Arial" w:cs="Arial"/>
          <w:sz w:val="24"/>
          <w:szCs w:val="24"/>
        </w:rPr>
        <w:t xml:space="preserve"> </w:t>
      </w:r>
      <w:r w:rsidRPr="006C5B5E">
        <w:rPr>
          <w:rFonts w:ascii="Arial" w:hAnsi="Arial" w:cs="Arial"/>
          <w:sz w:val="24"/>
          <w:szCs w:val="24"/>
        </w:rPr>
        <w:t xml:space="preserve">La importancia social, económica </w:t>
      </w:r>
      <w:r w:rsidR="00A96827" w:rsidRPr="006C5B5E">
        <w:rPr>
          <w:rFonts w:ascii="Arial" w:hAnsi="Arial" w:cs="Arial"/>
          <w:sz w:val="24"/>
          <w:szCs w:val="24"/>
        </w:rPr>
        <w:t xml:space="preserve">e institucional que se brinda al tema </w:t>
      </w:r>
      <w:r w:rsidRPr="006C5B5E">
        <w:rPr>
          <w:rFonts w:ascii="Arial" w:hAnsi="Arial" w:cs="Arial"/>
          <w:sz w:val="24"/>
          <w:szCs w:val="24"/>
        </w:rPr>
        <w:t xml:space="preserve">de vejez y envejecimiento se relaciona con el grado de bienestar </w:t>
      </w:r>
      <w:r w:rsidR="00A96827" w:rsidRPr="006C5B5E">
        <w:rPr>
          <w:rFonts w:ascii="Arial" w:hAnsi="Arial" w:cs="Arial"/>
          <w:sz w:val="24"/>
          <w:szCs w:val="24"/>
        </w:rPr>
        <w:t xml:space="preserve">de </w:t>
      </w:r>
      <w:r w:rsidRPr="006C5B5E">
        <w:rPr>
          <w:rFonts w:ascii="Arial" w:hAnsi="Arial" w:cs="Arial"/>
          <w:sz w:val="24"/>
          <w:szCs w:val="24"/>
        </w:rPr>
        <w:t xml:space="preserve">las personas adultas mayores y </w:t>
      </w:r>
      <w:r w:rsidR="00A96827" w:rsidRPr="006C5B5E">
        <w:rPr>
          <w:rFonts w:ascii="Arial" w:hAnsi="Arial" w:cs="Arial"/>
          <w:sz w:val="24"/>
          <w:szCs w:val="24"/>
        </w:rPr>
        <w:t>la población general de un país; de forma que a mayor bienestar, mayor la atención a este tema.</w:t>
      </w:r>
      <w:bookmarkStart w:id="0" w:name="_GoBack"/>
      <w:bookmarkEnd w:id="0"/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24BF1" w:rsidRPr="006C5B5E" w:rsidRDefault="00724BF1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La importancia d</w:t>
      </w:r>
      <w:r w:rsidR="00A96827" w:rsidRPr="006C5B5E">
        <w:rPr>
          <w:rFonts w:ascii="Arial" w:hAnsi="Arial" w:cs="Arial"/>
          <w:sz w:val="24"/>
          <w:szCs w:val="24"/>
        </w:rPr>
        <w:t xml:space="preserve">e priorizar </w:t>
      </w:r>
      <w:r w:rsidRPr="006C5B5E">
        <w:rPr>
          <w:rFonts w:ascii="Arial" w:hAnsi="Arial" w:cs="Arial"/>
          <w:sz w:val="24"/>
          <w:szCs w:val="24"/>
        </w:rPr>
        <w:t>el Tema de Envejecimiento radica no solo en el tamaño de la población adulta mayor, sino también en el acelerado crecimiento de este grupo etario.</w:t>
      </w:r>
      <w:r w:rsidR="005F7106" w:rsidRPr="006C5B5E">
        <w:rPr>
          <w:rFonts w:ascii="Arial" w:hAnsi="Arial" w:cs="Arial"/>
          <w:sz w:val="24"/>
          <w:szCs w:val="24"/>
        </w:rPr>
        <w:t xml:space="preserve"> Más aún, “la transformación de la vejez en un problema social. . . no solo se origina en el número creciente de individuos que alcanzan esta etapa de la vida, sino principalmente en las propias rigideces institucionales para dar respuesta a sus necesidades y demandas.” (CONAPO)</w:t>
      </w:r>
    </w:p>
    <w:p w:rsidR="00724BF1" w:rsidRPr="006C5B5E" w:rsidRDefault="00724BF1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Default="00E23944" w:rsidP="000C72B9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De acuerdo con proyecciones del Consejo Nacional de Población (CONAPO), en el año 2015 viven en México 12 millones 111 mil 777 personas adultas mayores que representan 10 % de la población total. </w:t>
      </w:r>
      <w:r w:rsidR="007E3C56" w:rsidRPr="006C5B5E">
        <w:rPr>
          <w:rFonts w:ascii="Arial" w:hAnsi="Arial" w:cs="Arial"/>
          <w:sz w:val="24"/>
          <w:szCs w:val="24"/>
        </w:rPr>
        <w:t xml:space="preserve">Para el 2030, se estima que las </w:t>
      </w:r>
      <w:r w:rsidRPr="006C5B5E">
        <w:rPr>
          <w:rFonts w:ascii="Arial" w:hAnsi="Arial" w:cs="Arial"/>
          <w:sz w:val="24"/>
          <w:szCs w:val="24"/>
        </w:rPr>
        <w:t xml:space="preserve">personas adultas mayores </w:t>
      </w:r>
      <w:r w:rsidR="007E3C56" w:rsidRPr="006C5B5E">
        <w:rPr>
          <w:rFonts w:ascii="Arial" w:hAnsi="Arial" w:cs="Arial"/>
          <w:sz w:val="24"/>
          <w:szCs w:val="24"/>
        </w:rPr>
        <w:t>representarán el 16.7 % de la población del país</w:t>
      </w:r>
      <w:r w:rsidRPr="006C5B5E">
        <w:rPr>
          <w:rFonts w:ascii="Arial" w:hAnsi="Arial" w:cs="Arial"/>
          <w:sz w:val="24"/>
          <w:szCs w:val="24"/>
        </w:rPr>
        <w:t>, cuando sumen 22 millones 198 mil 869 de individuos</w:t>
      </w:r>
      <w:r w:rsidR="007E3C56" w:rsidRPr="006C5B5E">
        <w:rPr>
          <w:rFonts w:ascii="Arial" w:hAnsi="Arial" w:cs="Arial"/>
          <w:sz w:val="24"/>
          <w:szCs w:val="24"/>
        </w:rPr>
        <w:t xml:space="preserve"> (INEGI, 2010)</w:t>
      </w:r>
      <w:r w:rsidR="00724BF1" w:rsidRPr="006C5B5E">
        <w:rPr>
          <w:rFonts w:ascii="Arial" w:hAnsi="Arial" w:cs="Arial"/>
          <w:sz w:val="24"/>
          <w:szCs w:val="24"/>
        </w:rPr>
        <w:t>;</w:t>
      </w:r>
    </w:p>
    <w:p w:rsidR="00BB6D2A" w:rsidRPr="006C5B5E" w:rsidRDefault="00BB6D2A" w:rsidP="00BB6D2A">
      <w:pPr>
        <w:pStyle w:val="Sinespaciado"/>
        <w:ind w:left="567"/>
        <w:jc w:val="both"/>
        <w:rPr>
          <w:rFonts w:ascii="Arial" w:hAnsi="Arial" w:cs="Arial"/>
          <w:sz w:val="24"/>
          <w:szCs w:val="24"/>
        </w:rPr>
      </w:pPr>
    </w:p>
    <w:p w:rsidR="00724BF1" w:rsidRDefault="008F42DD" w:rsidP="000C72B9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El Instituto Nacional de Estadística y Geografía (INEGI) estimó en el año 2010 que l</w:t>
      </w:r>
      <w:r w:rsidR="007E3C56" w:rsidRPr="006C5B5E">
        <w:rPr>
          <w:rFonts w:ascii="Arial" w:hAnsi="Arial" w:cs="Arial"/>
          <w:sz w:val="24"/>
          <w:szCs w:val="24"/>
        </w:rPr>
        <w:t>a Tasa de Crecimiento Anual Media de la población de adultos mayores e</w:t>
      </w:r>
      <w:r w:rsidRPr="006C5B5E">
        <w:rPr>
          <w:rFonts w:ascii="Arial" w:hAnsi="Arial" w:cs="Arial"/>
          <w:sz w:val="24"/>
          <w:szCs w:val="24"/>
        </w:rPr>
        <w:t>ra</w:t>
      </w:r>
      <w:r w:rsidR="007E3C56" w:rsidRPr="006C5B5E">
        <w:rPr>
          <w:rFonts w:ascii="Arial" w:hAnsi="Arial" w:cs="Arial"/>
          <w:sz w:val="24"/>
          <w:szCs w:val="24"/>
        </w:rPr>
        <w:t xml:space="preserve"> de 3.8 %</w:t>
      </w:r>
      <w:r w:rsidRPr="006C5B5E">
        <w:rPr>
          <w:rFonts w:ascii="Arial" w:hAnsi="Arial" w:cs="Arial"/>
          <w:sz w:val="24"/>
          <w:szCs w:val="24"/>
        </w:rPr>
        <w:t>. Este índice duplica la</w:t>
      </w:r>
      <w:r w:rsidR="007E3C56" w:rsidRPr="006C5B5E">
        <w:rPr>
          <w:rFonts w:ascii="Arial" w:hAnsi="Arial" w:cs="Arial"/>
          <w:sz w:val="24"/>
          <w:szCs w:val="24"/>
        </w:rPr>
        <w:t xml:space="preserve"> Tasa de Crecimiento Anual Media de la población general</w:t>
      </w:r>
      <w:r w:rsidR="00724BF1" w:rsidRPr="006C5B5E">
        <w:rPr>
          <w:rFonts w:ascii="Arial" w:hAnsi="Arial" w:cs="Arial"/>
          <w:sz w:val="24"/>
          <w:szCs w:val="24"/>
        </w:rPr>
        <w:t xml:space="preserve"> que </w:t>
      </w:r>
      <w:r w:rsidRPr="006C5B5E">
        <w:rPr>
          <w:rFonts w:ascii="Arial" w:hAnsi="Arial" w:cs="Arial"/>
          <w:sz w:val="24"/>
          <w:szCs w:val="24"/>
        </w:rPr>
        <w:t>fue</w:t>
      </w:r>
      <w:r w:rsidR="00724BF1" w:rsidRPr="006C5B5E">
        <w:rPr>
          <w:rFonts w:ascii="Arial" w:hAnsi="Arial" w:cs="Arial"/>
          <w:sz w:val="24"/>
          <w:szCs w:val="24"/>
        </w:rPr>
        <w:t xml:space="preserve"> de 1.8 %</w:t>
      </w:r>
      <w:r w:rsidRPr="006C5B5E">
        <w:rPr>
          <w:rFonts w:ascii="Arial" w:hAnsi="Arial" w:cs="Arial"/>
          <w:sz w:val="24"/>
          <w:szCs w:val="24"/>
        </w:rPr>
        <w:t>, en ese mismo año;</w:t>
      </w:r>
    </w:p>
    <w:p w:rsidR="00BB6D2A" w:rsidRPr="006C5B5E" w:rsidRDefault="00BB6D2A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67D81" w:rsidRDefault="00067D81" w:rsidP="00067D81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Otro indicador </w:t>
      </w:r>
      <w:r w:rsidR="00197E35" w:rsidRPr="006C5B5E">
        <w:rPr>
          <w:rFonts w:ascii="Arial" w:hAnsi="Arial" w:cs="Arial"/>
          <w:sz w:val="24"/>
          <w:szCs w:val="24"/>
        </w:rPr>
        <w:t xml:space="preserve">que refleja el crecimiento acelerado de </w:t>
      </w:r>
      <w:r w:rsidR="004E386F" w:rsidRPr="006C5B5E">
        <w:rPr>
          <w:rFonts w:ascii="Arial" w:hAnsi="Arial" w:cs="Arial"/>
          <w:sz w:val="24"/>
          <w:szCs w:val="24"/>
        </w:rPr>
        <w:t xml:space="preserve">adultos mayores </w:t>
      </w:r>
      <w:r w:rsidRPr="006C5B5E">
        <w:rPr>
          <w:rFonts w:ascii="Arial" w:hAnsi="Arial" w:cs="Arial"/>
          <w:sz w:val="24"/>
          <w:szCs w:val="24"/>
        </w:rPr>
        <w:t xml:space="preserve">es el Tiempo en que se duplica </w:t>
      </w:r>
      <w:r w:rsidR="00197E35" w:rsidRPr="006C5B5E">
        <w:rPr>
          <w:rFonts w:ascii="Arial" w:hAnsi="Arial" w:cs="Arial"/>
          <w:sz w:val="24"/>
          <w:szCs w:val="24"/>
        </w:rPr>
        <w:t>este grupo poblacional</w:t>
      </w:r>
      <w:r w:rsidRPr="006C5B5E">
        <w:rPr>
          <w:rFonts w:ascii="Arial" w:hAnsi="Arial" w:cs="Arial"/>
          <w:sz w:val="24"/>
          <w:szCs w:val="24"/>
        </w:rPr>
        <w:t xml:space="preserve">: con </w:t>
      </w:r>
      <w:r w:rsidR="004E386F" w:rsidRPr="006C5B5E">
        <w:rPr>
          <w:rFonts w:ascii="Arial" w:hAnsi="Arial" w:cs="Arial"/>
          <w:sz w:val="24"/>
          <w:szCs w:val="24"/>
        </w:rPr>
        <w:t>datos d</w:t>
      </w:r>
      <w:r w:rsidRPr="006C5B5E">
        <w:rPr>
          <w:rFonts w:ascii="Arial" w:hAnsi="Arial" w:cs="Arial"/>
          <w:sz w:val="24"/>
          <w:szCs w:val="24"/>
        </w:rPr>
        <w:t>el Censo Nacional de Población 2010,</w:t>
      </w:r>
      <w:r w:rsidR="004E386F" w:rsidRPr="006C5B5E">
        <w:rPr>
          <w:rFonts w:ascii="Arial" w:hAnsi="Arial" w:cs="Arial"/>
          <w:sz w:val="24"/>
          <w:szCs w:val="24"/>
        </w:rPr>
        <w:t xml:space="preserve"> se calculó </w:t>
      </w:r>
      <w:r w:rsidRPr="006C5B5E">
        <w:rPr>
          <w:rFonts w:ascii="Arial" w:hAnsi="Arial" w:cs="Arial"/>
          <w:sz w:val="24"/>
          <w:szCs w:val="24"/>
        </w:rPr>
        <w:t>que en 18.4 años se pasar</w:t>
      </w:r>
      <w:r w:rsidR="004E386F" w:rsidRPr="006C5B5E">
        <w:rPr>
          <w:rFonts w:ascii="Arial" w:hAnsi="Arial" w:cs="Arial"/>
          <w:sz w:val="24"/>
          <w:szCs w:val="24"/>
        </w:rPr>
        <w:t>á</w:t>
      </w:r>
      <w:r w:rsidRPr="006C5B5E">
        <w:rPr>
          <w:rFonts w:ascii="Arial" w:hAnsi="Arial" w:cs="Arial"/>
          <w:sz w:val="24"/>
          <w:szCs w:val="24"/>
        </w:rPr>
        <w:t xml:space="preserve"> de 10.8 millones a 21.6 millones de personas adultas mayores</w:t>
      </w:r>
      <w:r w:rsidR="004E386F" w:rsidRPr="006C5B5E">
        <w:rPr>
          <w:rFonts w:ascii="Arial" w:hAnsi="Arial" w:cs="Arial"/>
          <w:sz w:val="24"/>
          <w:szCs w:val="24"/>
        </w:rPr>
        <w:t xml:space="preserve">, quienes habitarán el territorio nacional en el año 2028. Este </w:t>
      </w:r>
      <w:r w:rsidRPr="006C5B5E">
        <w:rPr>
          <w:rFonts w:ascii="Arial" w:hAnsi="Arial" w:cs="Arial"/>
          <w:sz w:val="24"/>
          <w:szCs w:val="24"/>
        </w:rPr>
        <w:t xml:space="preserve">dato </w:t>
      </w:r>
      <w:r w:rsidR="004E386F" w:rsidRPr="006C5B5E">
        <w:rPr>
          <w:rFonts w:ascii="Arial" w:hAnsi="Arial" w:cs="Arial"/>
          <w:sz w:val="24"/>
          <w:szCs w:val="24"/>
        </w:rPr>
        <w:t xml:space="preserve">adquiere relevancia al compararse </w:t>
      </w:r>
      <w:r w:rsidRPr="006C5B5E">
        <w:rPr>
          <w:rFonts w:ascii="Arial" w:hAnsi="Arial" w:cs="Arial"/>
          <w:sz w:val="24"/>
          <w:szCs w:val="24"/>
        </w:rPr>
        <w:t>con el Tiempo de duplicación  de la población general que es 39.5 años</w:t>
      </w:r>
      <w:r w:rsidR="000702FC" w:rsidRPr="006C5B5E">
        <w:rPr>
          <w:rFonts w:ascii="Arial" w:hAnsi="Arial" w:cs="Arial"/>
          <w:sz w:val="24"/>
          <w:szCs w:val="24"/>
        </w:rPr>
        <w:t>, lo que ocurrirá en el año 2050</w:t>
      </w:r>
      <w:r w:rsidRPr="006C5B5E">
        <w:rPr>
          <w:rFonts w:ascii="Arial" w:hAnsi="Arial" w:cs="Arial"/>
          <w:sz w:val="24"/>
          <w:szCs w:val="24"/>
        </w:rPr>
        <w:t xml:space="preserve"> (INEGI, 2010);</w:t>
      </w:r>
    </w:p>
    <w:p w:rsidR="00BB6D2A" w:rsidRDefault="00BB6D2A" w:rsidP="00BB6D2A">
      <w:pPr>
        <w:pStyle w:val="Prrafodelista"/>
        <w:rPr>
          <w:rFonts w:ascii="Arial" w:hAnsi="Arial" w:cs="Arial"/>
          <w:sz w:val="24"/>
          <w:szCs w:val="24"/>
        </w:rPr>
      </w:pPr>
    </w:p>
    <w:p w:rsidR="00BB6D2A" w:rsidRDefault="00BB6D2A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B6D2A" w:rsidRDefault="00BB6D2A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B6D2A" w:rsidRPr="006C5B5E" w:rsidRDefault="00BB6D2A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C72B9" w:rsidRDefault="000702FC" w:rsidP="000702FC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El índice de Envejecimiento cuantifica el número de personas adultas mayores por cada 100 niños y jóvenes que habitan en territorio nacional. En el año 2010 la proporción fue de 31 personas adultas mayores por cada 100 jóvenes (relación 3:1); las proyecciones del Consejo Nacional de Población estiman que en el año 2020 existirá una persona adulta mayor por cada 2 personas jóvenes y que en el año 2035 se igualará la proporción en 1:1; (INEGI, 2010)</w:t>
      </w:r>
      <w:r w:rsidR="0037571D" w:rsidRPr="006C5B5E">
        <w:rPr>
          <w:rFonts w:ascii="Arial" w:hAnsi="Arial" w:cs="Arial"/>
          <w:sz w:val="24"/>
          <w:szCs w:val="24"/>
        </w:rPr>
        <w:t>;</w:t>
      </w:r>
    </w:p>
    <w:p w:rsidR="00BB6D2A" w:rsidRPr="006C5B5E" w:rsidRDefault="00BB6D2A" w:rsidP="00BB6D2A">
      <w:pPr>
        <w:pStyle w:val="Sinespaciado"/>
        <w:ind w:left="567"/>
        <w:jc w:val="both"/>
        <w:rPr>
          <w:rFonts w:ascii="Arial" w:hAnsi="Arial" w:cs="Arial"/>
          <w:sz w:val="24"/>
          <w:szCs w:val="24"/>
        </w:rPr>
      </w:pPr>
    </w:p>
    <w:p w:rsidR="0037571D" w:rsidRDefault="00500409" w:rsidP="00500409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La razon de dependencia, cuantifica el numero de personas en edad dependiente economicamente (Personas Adultas Mayores de 65 años y personas menores de 15 años) por cada 100 personas en edad productiva</w:t>
      </w:r>
      <w:r w:rsidR="00BB6D2A">
        <w:rPr>
          <w:rFonts w:ascii="Arial" w:hAnsi="Arial" w:cs="Arial"/>
          <w:sz w:val="24"/>
          <w:szCs w:val="24"/>
        </w:rPr>
        <w:t>.</w:t>
      </w:r>
    </w:p>
    <w:p w:rsidR="00BB6D2A" w:rsidRPr="006C5B5E" w:rsidRDefault="00BB6D2A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00409" w:rsidRPr="006C5B5E" w:rsidRDefault="00500409" w:rsidP="00500409">
      <w:pPr>
        <w:pStyle w:val="Sinespaciado"/>
        <w:numPr>
          <w:ilvl w:val="0"/>
          <w:numId w:val="7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En 2035 el Índice de Dependencia económica tendrá fuertes presiones en las finanzas publicas cuando se </w:t>
      </w:r>
      <w:r w:rsidR="007C34E0" w:rsidRPr="006C5B5E">
        <w:rPr>
          <w:rFonts w:ascii="Arial" w:hAnsi="Arial" w:cs="Arial"/>
          <w:sz w:val="24"/>
          <w:szCs w:val="24"/>
        </w:rPr>
        <w:t>igua</w:t>
      </w:r>
      <w:r w:rsidRPr="006C5B5E">
        <w:rPr>
          <w:rFonts w:ascii="Arial" w:hAnsi="Arial" w:cs="Arial"/>
          <w:sz w:val="24"/>
          <w:szCs w:val="24"/>
        </w:rPr>
        <w:t>le la proporcion del numero de personas dependiente</w:t>
      </w:r>
      <w:r w:rsidR="007C34E0" w:rsidRPr="006C5B5E">
        <w:rPr>
          <w:rFonts w:ascii="Arial" w:hAnsi="Arial" w:cs="Arial"/>
          <w:sz w:val="24"/>
          <w:szCs w:val="24"/>
        </w:rPr>
        <w:t>s</w:t>
      </w:r>
      <w:r w:rsidRPr="006C5B5E">
        <w:rPr>
          <w:rFonts w:ascii="Arial" w:hAnsi="Arial" w:cs="Arial"/>
          <w:sz w:val="24"/>
          <w:szCs w:val="24"/>
        </w:rPr>
        <w:t xml:space="preserve"> economicamente (</w:t>
      </w:r>
      <w:r w:rsidR="007C34E0" w:rsidRPr="006C5B5E">
        <w:rPr>
          <w:rFonts w:ascii="Arial" w:hAnsi="Arial" w:cs="Arial"/>
          <w:sz w:val="24"/>
          <w:szCs w:val="24"/>
        </w:rPr>
        <w:t>p</w:t>
      </w:r>
      <w:r w:rsidRPr="006C5B5E">
        <w:rPr>
          <w:rFonts w:ascii="Arial" w:hAnsi="Arial" w:cs="Arial"/>
          <w:sz w:val="24"/>
          <w:szCs w:val="24"/>
        </w:rPr>
        <w:t xml:space="preserve">ersonas </w:t>
      </w:r>
      <w:r w:rsidR="007C34E0" w:rsidRPr="006C5B5E">
        <w:rPr>
          <w:rFonts w:ascii="Arial" w:hAnsi="Arial" w:cs="Arial"/>
          <w:sz w:val="24"/>
          <w:szCs w:val="24"/>
        </w:rPr>
        <w:t>a</w:t>
      </w:r>
      <w:r w:rsidRPr="006C5B5E">
        <w:rPr>
          <w:rFonts w:ascii="Arial" w:hAnsi="Arial" w:cs="Arial"/>
          <w:sz w:val="24"/>
          <w:szCs w:val="24"/>
        </w:rPr>
        <w:t xml:space="preserve">dultas </w:t>
      </w:r>
      <w:r w:rsidR="007C34E0" w:rsidRPr="006C5B5E">
        <w:rPr>
          <w:rFonts w:ascii="Arial" w:hAnsi="Arial" w:cs="Arial"/>
          <w:sz w:val="24"/>
          <w:szCs w:val="24"/>
        </w:rPr>
        <w:t>m</w:t>
      </w:r>
      <w:r w:rsidRPr="006C5B5E">
        <w:rPr>
          <w:rFonts w:ascii="Arial" w:hAnsi="Arial" w:cs="Arial"/>
          <w:sz w:val="24"/>
          <w:szCs w:val="24"/>
        </w:rPr>
        <w:t>ayores de 65 años y personas menores de 15 años) por cada 100 personas en edad productiva</w:t>
      </w:r>
      <w:r w:rsidR="007C34E0" w:rsidRPr="006C5B5E">
        <w:rPr>
          <w:rFonts w:ascii="Arial" w:hAnsi="Arial" w:cs="Arial"/>
          <w:sz w:val="24"/>
          <w:szCs w:val="24"/>
        </w:rPr>
        <w:t>.</w:t>
      </w:r>
    </w:p>
    <w:p w:rsidR="000C72B9" w:rsidRPr="006C5B5E" w:rsidRDefault="000C72B9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Con base en lo anterior </w:t>
      </w:r>
      <w:r w:rsidR="00500409" w:rsidRPr="006C5B5E">
        <w:rPr>
          <w:rFonts w:ascii="Arial" w:hAnsi="Arial" w:cs="Arial"/>
          <w:sz w:val="24"/>
          <w:szCs w:val="24"/>
        </w:rPr>
        <w:t>se puede</w:t>
      </w:r>
      <w:r w:rsidRPr="006C5B5E">
        <w:rPr>
          <w:rFonts w:ascii="Arial" w:hAnsi="Arial" w:cs="Arial"/>
          <w:sz w:val="24"/>
          <w:szCs w:val="24"/>
        </w:rPr>
        <w:t xml:space="preserve"> inferir </w:t>
      </w:r>
      <w:r w:rsidR="002017D3" w:rsidRPr="006C5B5E">
        <w:rPr>
          <w:rFonts w:ascii="Arial" w:hAnsi="Arial" w:cs="Arial"/>
          <w:sz w:val="24"/>
          <w:szCs w:val="24"/>
        </w:rPr>
        <w:t xml:space="preserve">la magnitud de </w:t>
      </w:r>
      <w:r w:rsidRPr="006C5B5E">
        <w:rPr>
          <w:rFonts w:ascii="Arial" w:hAnsi="Arial" w:cs="Arial"/>
          <w:sz w:val="24"/>
          <w:szCs w:val="24"/>
        </w:rPr>
        <w:t xml:space="preserve">los retos que enfrentarán los individuos, las familias, las instituciones públicas y la sociedad en general para promover y fomentar </w:t>
      </w:r>
      <w:r w:rsidR="00067D81" w:rsidRPr="006C5B5E">
        <w:rPr>
          <w:rFonts w:ascii="Arial" w:hAnsi="Arial" w:cs="Arial"/>
          <w:sz w:val="24"/>
          <w:szCs w:val="24"/>
        </w:rPr>
        <w:t xml:space="preserve">el </w:t>
      </w:r>
      <w:r w:rsidR="002017D3" w:rsidRPr="006C5B5E">
        <w:rPr>
          <w:rFonts w:ascii="Arial" w:hAnsi="Arial" w:cs="Arial"/>
          <w:sz w:val="24"/>
          <w:szCs w:val="24"/>
        </w:rPr>
        <w:t>desarrollo integral en la vejez.</w:t>
      </w:r>
      <w:r w:rsidR="00725019" w:rsidRPr="006C5B5E">
        <w:rPr>
          <w:rFonts w:ascii="Arial" w:hAnsi="Arial" w:cs="Arial"/>
          <w:sz w:val="24"/>
          <w:szCs w:val="24"/>
        </w:rPr>
        <w:t xml:space="preserve"> L</w:t>
      </w:r>
      <w:r w:rsidR="00500409" w:rsidRPr="006C5B5E">
        <w:rPr>
          <w:rFonts w:ascii="Arial" w:hAnsi="Arial" w:cs="Arial"/>
          <w:sz w:val="24"/>
          <w:szCs w:val="24"/>
        </w:rPr>
        <w:t xml:space="preserve">os conceptos </w:t>
      </w:r>
      <w:r w:rsidR="00725019" w:rsidRPr="006C5B5E">
        <w:rPr>
          <w:rFonts w:ascii="Arial" w:hAnsi="Arial" w:cs="Arial"/>
          <w:sz w:val="24"/>
          <w:szCs w:val="24"/>
        </w:rPr>
        <w:t>de familia tradicional, el mercado laboral, el sistema económico, la seguridad social, los servicios de salud su</w:t>
      </w:r>
      <w:r w:rsidR="00500409" w:rsidRPr="006C5B5E">
        <w:rPr>
          <w:rFonts w:ascii="Arial" w:hAnsi="Arial" w:cs="Arial"/>
          <w:sz w:val="24"/>
          <w:szCs w:val="24"/>
        </w:rPr>
        <w:t>frirán modificaciones sensibles en el mediano plazo.</w:t>
      </w:r>
    </w:p>
    <w:p w:rsidR="002017D3" w:rsidRPr="006C5B5E" w:rsidRDefault="002017D3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202E1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En este sentido, resulta </w:t>
      </w:r>
      <w:r w:rsidR="00F804F9" w:rsidRPr="006C5B5E">
        <w:rPr>
          <w:rFonts w:ascii="Arial" w:hAnsi="Arial" w:cs="Arial"/>
          <w:sz w:val="24"/>
          <w:szCs w:val="24"/>
        </w:rPr>
        <w:t>oportuno</w:t>
      </w:r>
      <w:r w:rsidRPr="006C5B5E">
        <w:rPr>
          <w:rFonts w:ascii="Arial" w:hAnsi="Arial" w:cs="Arial"/>
          <w:sz w:val="24"/>
          <w:szCs w:val="24"/>
        </w:rPr>
        <w:t xml:space="preserve"> considerar un cambio de </w:t>
      </w:r>
      <w:r w:rsidR="00EC032F" w:rsidRPr="006C5B5E">
        <w:rPr>
          <w:rFonts w:ascii="Arial" w:hAnsi="Arial" w:cs="Arial"/>
          <w:sz w:val="24"/>
          <w:szCs w:val="24"/>
        </w:rPr>
        <w:t>enfoque</w:t>
      </w:r>
      <w:r w:rsidRPr="006C5B5E">
        <w:rPr>
          <w:rFonts w:ascii="Arial" w:hAnsi="Arial" w:cs="Arial"/>
          <w:sz w:val="24"/>
          <w:szCs w:val="24"/>
        </w:rPr>
        <w:t xml:space="preserve"> en las estrategias y políticas públicas vigentes</w:t>
      </w:r>
      <w:r w:rsidR="00F804F9" w:rsidRPr="006C5B5E">
        <w:rPr>
          <w:rFonts w:ascii="Arial" w:hAnsi="Arial" w:cs="Arial"/>
          <w:sz w:val="24"/>
          <w:szCs w:val="24"/>
        </w:rPr>
        <w:t xml:space="preserve"> para </w:t>
      </w:r>
      <w:r w:rsidR="006202E1" w:rsidRPr="006C5B5E">
        <w:rPr>
          <w:rFonts w:ascii="Arial" w:hAnsi="Arial" w:cs="Arial"/>
          <w:sz w:val="24"/>
          <w:szCs w:val="24"/>
        </w:rPr>
        <w:t xml:space="preserve">que contribuyan a incorporar a </w:t>
      </w:r>
      <w:r w:rsidR="00500409" w:rsidRPr="006C5B5E">
        <w:rPr>
          <w:rFonts w:ascii="Arial" w:hAnsi="Arial" w:cs="Arial"/>
          <w:sz w:val="24"/>
          <w:szCs w:val="24"/>
        </w:rPr>
        <w:t xml:space="preserve">un mayor número de </w:t>
      </w:r>
      <w:r w:rsidR="006202E1" w:rsidRPr="006C5B5E">
        <w:rPr>
          <w:rFonts w:ascii="Arial" w:hAnsi="Arial" w:cs="Arial"/>
          <w:sz w:val="24"/>
          <w:szCs w:val="24"/>
        </w:rPr>
        <w:t>personas adultas mayores a la vida social y económica de la sociedad, haciendolas sujetos de derechos en el marco de un México Incluyente, como lo propone el Gobierno de la República.</w:t>
      </w:r>
    </w:p>
    <w:p w:rsidR="00EC032F" w:rsidRPr="006C5B5E" w:rsidRDefault="00EC032F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500409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De igual forma</w:t>
      </w:r>
      <w:r w:rsidR="00EC032F" w:rsidRPr="006C5B5E">
        <w:rPr>
          <w:rFonts w:ascii="Arial" w:hAnsi="Arial" w:cs="Arial"/>
          <w:sz w:val="24"/>
          <w:szCs w:val="24"/>
        </w:rPr>
        <w:t>,</w:t>
      </w:r>
      <w:r w:rsidR="007E3C56" w:rsidRPr="006C5B5E">
        <w:rPr>
          <w:rFonts w:ascii="Arial" w:hAnsi="Arial" w:cs="Arial"/>
          <w:sz w:val="24"/>
          <w:szCs w:val="24"/>
        </w:rPr>
        <w:t xml:space="preserve"> la población de adultos mayores en </w:t>
      </w:r>
      <w:r w:rsidR="00E86464" w:rsidRPr="006C5B5E">
        <w:rPr>
          <w:rFonts w:ascii="Arial" w:hAnsi="Arial" w:cs="Arial"/>
          <w:sz w:val="24"/>
          <w:szCs w:val="24"/>
        </w:rPr>
        <w:t>todo el país</w:t>
      </w:r>
      <w:r w:rsidR="007E3C56" w:rsidRPr="006C5B5E">
        <w:rPr>
          <w:rFonts w:ascii="Arial" w:hAnsi="Arial" w:cs="Arial"/>
          <w:sz w:val="24"/>
          <w:szCs w:val="24"/>
        </w:rPr>
        <w:t xml:space="preserve"> </w:t>
      </w:r>
      <w:r w:rsidR="00E86464" w:rsidRPr="006C5B5E">
        <w:rPr>
          <w:rFonts w:ascii="Arial" w:hAnsi="Arial" w:cs="Arial"/>
          <w:sz w:val="24"/>
          <w:szCs w:val="24"/>
        </w:rPr>
        <w:t xml:space="preserve">está demandando </w:t>
      </w:r>
      <w:r w:rsidR="007E3C56" w:rsidRPr="006C5B5E">
        <w:rPr>
          <w:rFonts w:ascii="Arial" w:hAnsi="Arial" w:cs="Arial"/>
          <w:sz w:val="24"/>
          <w:szCs w:val="24"/>
        </w:rPr>
        <w:t>mayor</w:t>
      </w:r>
      <w:r w:rsidR="00E86464" w:rsidRPr="006C5B5E">
        <w:rPr>
          <w:rFonts w:ascii="Arial" w:hAnsi="Arial" w:cs="Arial"/>
          <w:sz w:val="24"/>
          <w:szCs w:val="24"/>
        </w:rPr>
        <w:t>es</w:t>
      </w:r>
      <w:r w:rsidR="007E3C56" w:rsidRPr="006C5B5E">
        <w:rPr>
          <w:rFonts w:ascii="Arial" w:hAnsi="Arial" w:cs="Arial"/>
          <w:sz w:val="24"/>
          <w:szCs w:val="24"/>
        </w:rPr>
        <w:t xml:space="preserve"> </w:t>
      </w:r>
      <w:r w:rsidR="00E86464" w:rsidRPr="006C5B5E">
        <w:rPr>
          <w:rFonts w:ascii="Arial" w:hAnsi="Arial" w:cs="Arial"/>
          <w:sz w:val="24"/>
          <w:szCs w:val="24"/>
        </w:rPr>
        <w:t xml:space="preserve">espacios para participar en acciones que mejoren </w:t>
      </w:r>
      <w:r w:rsidR="002017D3" w:rsidRPr="006C5B5E">
        <w:rPr>
          <w:rFonts w:ascii="Arial" w:hAnsi="Arial" w:cs="Arial"/>
          <w:sz w:val="24"/>
          <w:szCs w:val="24"/>
        </w:rPr>
        <w:t>su calidad de vida.</w:t>
      </w:r>
    </w:p>
    <w:p w:rsidR="00E86464" w:rsidRPr="006C5B5E" w:rsidRDefault="00E86464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E86464" w:rsidRPr="006C5B5E" w:rsidRDefault="00E86464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Las circunstancias </w:t>
      </w:r>
      <w:r w:rsidR="00500409" w:rsidRPr="006C5B5E">
        <w:rPr>
          <w:rFonts w:ascii="Arial" w:hAnsi="Arial" w:cs="Arial"/>
          <w:sz w:val="24"/>
          <w:szCs w:val="24"/>
        </w:rPr>
        <w:t>existen</w:t>
      </w:r>
      <w:r w:rsidRPr="006C5B5E">
        <w:rPr>
          <w:rFonts w:ascii="Arial" w:hAnsi="Arial" w:cs="Arial"/>
          <w:sz w:val="24"/>
          <w:szCs w:val="24"/>
        </w:rPr>
        <w:t xml:space="preserve"> para generar políticas, estrategias y programas que concreten y prioricen el Tema de Envejecimiento.</w:t>
      </w: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2017D3" w:rsidP="002017D3">
      <w:pPr>
        <w:pStyle w:val="Sinespaciado"/>
        <w:pBdr>
          <w:bottom w:val="single" w:sz="4" w:space="1" w:color="auto"/>
        </w:pBdr>
        <w:jc w:val="right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>DESARROLLO</w:t>
      </w:r>
    </w:p>
    <w:p w:rsidR="002017D3" w:rsidRPr="006C5B5E" w:rsidRDefault="002017D3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El Instituto Nacional de la Personas Adultas May</w:t>
      </w:r>
      <w:r w:rsidR="00E86464" w:rsidRPr="006C5B5E">
        <w:rPr>
          <w:rFonts w:ascii="Arial" w:hAnsi="Arial" w:cs="Arial"/>
          <w:sz w:val="24"/>
          <w:szCs w:val="24"/>
        </w:rPr>
        <w:t>ores es el órgano rector de la p</w:t>
      </w:r>
      <w:r w:rsidRPr="006C5B5E">
        <w:rPr>
          <w:rFonts w:ascii="Arial" w:hAnsi="Arial" w:cs="Arial"/>
          <w:sz w:val="24"/>
          <w:szCs w:val="24"/>
        </w:rPr>
        <w:t xml:space="preserve">olítica </w:t>
      </w:r>
      <w:r w:rsidR="00E86464" w:rsidRPr="006C5B5E">
        <w:rPr>
          <w:rFonts w:ascii="Arial" w:hAnsi="Arial" w:cs="Arial"/>
          <w:sz w:val="24"/>
          <w:szCs w:val="24"/>
        </w:rPr>
        <w:t>p</w:t>
      </w:r>
      <w:r w:rsidRPr="006C5B5E">
        <w:rPr>
          <w:rFonts w:ascii="Arial" w:hAnsi="Arial" w:cs="Arial"/>
          <w:sz w:val="24"/>
          <w:szCs w:val="24"/>
        </w:rPr>
        <w:t xml:space="preserve">ública </w:t>
      </w:r>
      <w:r w:rsidR="00E86464" w:rsidRPr="006C5B5E">
        <w:rPr>
          <w:rFonts w:ascii="Arial" w:hAnsi="Arial" w:cs="Arial"/>
          <w:sz w:val="24"/>
          <w:szCs w:val="24"/>
        </w:rPr>
        <w:t>n</w:t>
      </w:r>
      <w:r w:rsidRPr="006C5B5E">
        <w:rPr>
          <w:rFonts w:ascii="Arial" w:hAnsi="Arial" w:cs="Arial"/>
          <w:sz w:val="24"/>
          <w:szCs w:val="24"/>
        </w:rPr>
        <w:t xml:space="preserve">acional </w:t>
      </w:r>
      <w:r w:rsidR="00E86464" w:rsidRPr="006C5B5E">
        <w:rPr>
          <w:rFonts w:ascii="Arial" w:hAnsi="Arial" w:cs="Arial"/>
          <w:sz w:val="24"/>
          <w:szCs w:val="24"/>
        </w:rPr>
        <w:t xml:space="preserve">dirigida a este grupo etario, </w:t>
      </w:r>
      <w:r w:rsidR="00D33970" w:rsidRPr="006C5B5E">
        <w:rPr>
          <w:rFonts w:ascii="Arial" w:hAnsi="Arial" w:cs="Arial"/>
          <w:sz w:val="24"/>
          <w:szCs w:val="24"/>
        </w:rPr>
        <w:t>tomando en consideración</w:t>
      </w:r>
      <w:r w:rsidR="00E86464" w:rsidRPr="006C5B5E">
        <w:rPr>
          <w:rFonts w:ascii="Arial" w:hAnsi="Arial" w:cs="Arial"/>
          <w:sz w:val="24"/>
          <w:szCs w:val="24"/>
        </w:rPr>
        <w:t xml:space="preserve"> sus</w:t>
      </w:r>
      <w:r w:rsidRPr="006C5B5E">
        <w:rPr>
          <w:rFonts w:ascii="Arial" w:hAnsi="Arial" w:cs="Arial"/>
          <w:sz w:val="24"/>
          <w:szCs w:val="24"/>
        </w:rPr>
        <w:t xml:space="preserve"> derechos humanos, realidades sociales y </w:t>
      </w:r>
      <w:r w:rsidR="00E86464" w:rsidRPr="006C5B5E">
        <w:rPr>
          <w:rFonts w:ascii="Arial" w:hAnsi="Arial" w:cs="Arial"/>
          <w:sz w:val="24"/>
          <w:szCs w:val="24"/>
        </w:rPr>
        <w:t xml:space="preserve">las </w:t>
      </w:r>
      <w:r w:rsidRPr="006C5B5E">
        <w:rPr>
          <w:rFonts w:ascii="Arial" w:hAnsi="Arial" w:cs="Arial"/>
          <w:sz w:val="24"/>
          <w:szCs w:val="24"/>
        </w:rPr>
        <w:t>neces</w:t>
      </w:r>
      <w:r w:rsidR="00D33970" w:rsidRPr="006C5B5E">
        <w:rPr>
          <w:rFonts w:ascii="Arial" w:hAnsi="Arial" w:cs="Arial"/>
          <w:sz w:val="24"/>
          <w:szCs w:val="24"/>
        </w:rPr>
        <w:t>idades poblaciones. D</w:t>
      </w:r>
      <w:r w:rsidRPr="006C5B5E">
        <w:rPr>
          <w:rFonts w:ascii="Arial" w:hAnsi="Arial" w:cs="Arial"/>
          <w:sz w:val="24"/>
          <w:szCs w:val="24"/>
        </w:rPr>
        <w:t>esde del año 2013 ha procurado armonizar sus meta</w:t>
      </w:r>
      <w:r w:rsidR="00E86464" w:rsidRPr="006C5B5E">
        <w:rPr>
          <w:rFonts w:ascii="Arial" w:hAnsi="Arial" w:cs="Arial"/>
          <w:sz w:val="24"/>
          <w:szCs w:val="24"/>
        </w:rPr>
        <w:t>s</w:t>
      </w:r>
      <w:r w:rsidRPr="006C5B5E">
        <w:rPr>
          <w:rFonts w:ascii="Arial" w:hAnsi="Arial" w:cs="Arial"/>
          <w:sz w:val="24"/>
          <w:szCs w:val="24"/>
        </w:rPr>
        <w:t xml:space="preserve"> y objetivos </w:t>
      </w:r>
      <w:r w:rsidR="00D33970" w:rsidRPr="006C5B5E">
        <w:rPr>
          <w:rFonts w:ascii="Arial" w:hAnsi="Arial" w:cs="Arial"/>
          <w:sz w:val="24"/>
          <w:szCs w:val="24"/>
        </w:rPr>
        <w:t xml:space="preserve">al </w:t>
      </w:r>
      <w:r w:rsidRPr="006C5B5E">
        <w:rPr>
          <w:rFonts w:ascii="Arial" w:hAnsi="Arial" w:cs="Arial"/>
          <w:sz w:val="24"/>
          <w:szCs w:val="24"/>
        </w:rPr>
        <w:t xml:space="preserve">al eje rector México Incluyente del Plan Nacional de Desarrollo </w:t>
      </w:r>
      <w:r w:rsidR="00D33970" w:rsidRPr="006C5B5E">
        <w:rPr>
          <w:rFonts w:ascii="Arial" w:hAnsi="Arial" w:cs="Arial"/>
          <w:sz w:val="24"/>
          <w:szCs w:val="24"/>
        </w:rPr>
        <w:t xml:space="preserve">2013 – 2018 </w:t>
      </w:r>
      <w:r w:rsidRPr="006C5B5E">
        <w:rPr>
          <w:rFonts w:ascii="Arial" w:hAnsi="Arial" w:cs="Arial"/>
          <w:sz w:val="24"/>
          <w:szCs w:val="24"/>
        </w:rPr>
        <w:t>y al Plan Sectorial de Desarrollo Social.</w:t>
      </w:r>
    </w:p>
    <w:p w:rsidR="007E3C56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B6D2A" w:rsidRPr="006C5B5E" w:rsidRDefault="00BB6D2A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Es por </w:t>
      </w:r>
      <w:r w:rsidR="00500409" w:rsidRPr="006C5B5E">
        <w:rPr>
          <w:rFonts w:ascii="Arial" w:hAnsi="Arial" w:cs="Arial"/>
          <w:sz w:val="24"/>
          <w:szCs w:val="24"/>
        </w:rPr>
        <w:t>ello</w:t>
      </w:r>
      <w:r w:rsidRPr="006C5B5E">
        <w:rPr>
          <w:rFonts w:ascii="Arial" w:hAnsi="Arial" w:cs="Arial"/>
          <w:sz w:val="24"/>
          <w:szCs w:val="24"/>
        </w:rPr>
        <w:t xml:space="preserve"> que resulta primordial generar estrategias conjuntas y vinculatorias, así como establecer alianzas interinstitucionales entre los tres órdenes de gobiernos. El INAPAM </w:t>
      </w:r>
      <w:r w:rsidR="00DE5D9D" w:rsidRPr="006C5B5E">
        <w:rPr>
          <w:rFonts w:ascii="Arial" w:hAnsi="Arial" w:cs="Arial"/>
          <w:sz w:val="24"/>
          <w:szCs w:val="24"/>
        </w:rPr>
        <w:t xml:space="preserve">focaliza </w:t>
      </w:r>
      <w:r w:rsidRPr="006C5B5E">
        <w:rPr>
          <w:rFonts w:ascii="Arial" w:hAnsi="Arial" w:cs="Arial"/>
          <w:sz w:val="24"/>
          <w:szCs w:val="24"/>
        </w:rPr>
        <w:t xml:space="preserve">diversas acciones </w:t>
      </w:r>
      <w:r w:rsidR="00DE5D9D" w:rsidRPr="006C5B5E">
        <w:rPr>
          <w:rFonts w:ascii="Arial" w:hAnsi="Arial" w:cs="Arial"/>
          <w:sz w:val="24"/>
          <w:szCs w:val="24"/>
        </w:rPr>
        <w:t>para</w:t>
      </w:r>
      <w:r w:rsidRPr="006C5B5E">
        <w:rPr>
          <w:rFonts w:ascii="Arial" w:hAnsi="Arial" w:cs="Arial"/>
          <w:sz w:val="24"/>
          <w:szCs w:val="24"/>
        </w:rPr>
        <w:t xml:space="preserve"> el empoderamiento del adulto mayor </w:t>
      </w:r>
      <w:r w:rsidR="00DE5D9D" w:rsidRPr="006C5B5E">
        <w:rPr>
          <w:rFonts w:ascii="Arial" w:hAnsi="Arial" w:cs="Arial"/>
          <w:sz w:val="24"/>
          <w:szCs w:val="24"/>
        </w:rPr>
        <w:t>a fin de</w:t>
      </w:r>
      <w:r w:rsidRPr="006C5B5E">
        <w:rPr>
          <w:rFonts w:ascii="Arial" w:hAnsi="Arial" w:cs="Arial"/>
          <w:sz w:val="24"/>
          <w:szCs w:val="24"/>
        </w:rPr>
        <w:t xml:space="preserve"> que este sea un sujeto activo, productivo y desarrollado de forma íntegra.</w:t>
      </w:r>
    </w:p>
    <w:p w:rsidR="00D33970" w:rsidRPr="006C5B5E" w:rsidRDefault="00D33970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33970" w:rsidRPr="006C5B5E" w:rsidRDefault="00D33970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>Lo anterior pasa por reconocer la potencia y alcance que tienen los go</w:t>
      </w:r>
      <w:r w:rsidR="00E86464" w:rsidRPr="006C5B5E">
        <w:rPr>
          <w:rFonts w:ascii="Arial" w:hAnsi="Arial" w:cs="Arial"/>
          <w:sz w:val="24"/>
          <w:szCs w:val="24"/>
        </w:rPr>
        <w:t>biernos estatales y municipales</w:t>
      </w:r>
      <w:r w:rsidRPr="006C5B5E">
        <w:rPr>
          <w:rFonts w:ascii="Arial" w:hAnsi="Arial" w:cs="Arial"/>
          <w:sz w:val="24"/>
          <w:szCs w:val="24"/>
        </w:rPr>
        <w:t xml:space="preserve"> para atender de manera conjunta </w:t>
      </w:r>
      <w:r w:rsidR="0050643B" w:rsidRPr="006C5B5E">
        <w:rPr>
          <w:rFonts w:ascii="Arial" w:hAnsi="Arial" w:cs="Arial"/>
          <w:sz w:val="24"/>
          <w:szCs w:val="24"/>
        </w:rPr>
        <w:t xml:space="preserve">e integral </w:t>
      </w:r>
      <w:r w:rsidRPr="006C5B5E">
        <w:rPr>
          <w:rFonts w:ascii="Arial" w:hAnsi="Arial" w:cs="Arial"/>
          <w:sz w:val="24"/>
          <w:szCs w:val="24"/>
        </w:rPr>
        <w:t>el Tema de Envejecimiento en sus respectivas jurisdicciones. En el mismo sentido, se debe dar crédito a la colaboración que tienen la academia, la sociedad civil y el sector privado para acometer</w:t>
      </w:r>
      <w:r w:rsidR="0050643B" w:rsidRPr="006C5B5E">
        <w:rPr>
          <w:rFonts w:ascii="Arial" w:hAnsi="Arial" w:cs="Arial"/>
          <w:sz w:val="24"/>
          <w:szCs w:val="24"/>
        </w:rPr>
        <w:t xml:space="preserve"> de</w:t>
      </w:r>
      <w:r w:rsidRPr="006C5B5E">
        <w:rPr>
          <w:rFonts w:ascii="Arial" w:hAnsi="Arial" w:cs="Arial"/>
          <w:sz w:val="24"/>
          <w:szCs w:val="24"/>
        </w:rPr>
        <w:t xml:space="preserve"> manera coordinada este fenómeno.</w:t>
      </w:r>
    </w:p>
    <w:p w:rsidR="00D33970" w:rsidRPr="006C5B5E" w:rsidRDefault="00D33970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D33970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La pretensión del </w:t>
      </w:r>
      <w:r w:rsidR="0012561C" w:rsidRPr="006C5B5E">
        <w:rPr>
          <w:rFonts w:ascii="Arial" w:hAnsi="Arial" w:cs="Arial"/>
          <w:sz w:val="24"/>
          <w:szCs w:val="24"/>
        </w:rPr>
        <w:t xml:space="preserve">INAPAM </w:t>
      </w:r>
      <w:r w:rsidR="00E86464" w:rsidRPr="006C5B5E">
        <w:rPr>
          <w:rFonts w:ascii="Arial" w:hAnsi="Arial" w:cs="Arial"/>
          <w:sz w:val="24"/>
          <w:szCs w:val="24"/>
        </w:rPr>
        <w:t>es armonizar y</w:t>
      </w:r>
      <w:r w:rsidR="007E3C56" w:rsidRPr="006C5B5E">
        <w:rPr>
          <w:rFonts w:ascii="Arial" w:hAnsi="Arial" w:cs="Arial"/>
          <w:sz w:val="24"/>
          <w:szCs w:val="24"/>
        </w:rPr>
        <w:t xml:space="preserve"> fortalecer la generación e implementación de políticas públicas en materia de envejecimiento para coadyuvar en el desarrollo integral de la vejez y el promover el enveje</w:t>
      </w:r>
      <w:r w:rsidR="00E86464" w:rsidRPr="006C5B5E">
        <w:rPr>
          <w:rFonts w:ascii="Arial" w:hAnsi="Arial" w:cs="Arial"/>
          <w:sz w:val="24"/>
          <w:szCs w:val="24"/>
        </w:rPr>
        <w:t>cimiento digno de la población m</w:t>
      </w:r>
      <w:r w:rsidR="007E3C56" w:rsidRPr="006C5B5E">
        <w:rPr>
          <w:rFonts w:ascii="Arial" w:hAnsi="Arial" w:cs="Arial"/>
          <w:sz w:val="24"/>
          <w:szCs w:val="24"/>
        </w:rPr>
        <w:t>exicana.</w:t>
      </w:r>
    </w:p>
    <w:p w:rsidR="007E3C56" w:rsidRPr="006C5B5E" w:rsidRDefault="007E3C56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2561C" w:rsidRPr="006C5B5E" w:rsidRDefault="007E3C56" w:rsidP="00BB6D2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Con fundamento en lo previamente expuesto es que </w:t>
      </w:r>
      <w:r w:rsidR="00E86464" w:rsidRPr="006C5B5E">
        <w:rPr>
          <w:rFonts w:ascii="Arial" w:hAnsi="Arial" w:cs="Arial"/>
          <w:sz w:val="24"/>
          <w:szCs w:val="24"/>
        </w:rPr>
        <w:t xml:space="preserve">en el marco de </w:t>
      </w:r>
      <w:r w:rsidRPr="006C5B5E">
        <w:rPr>
          <w:rFonts w:ascii="Arial" w:hAnsi="Arial" w:cs="Arial"/>
          <w:sz w:val="24"/>
          <w:szCs w:val="24"/>
        </w:rPr>
        <w:t xml:space="preserve">esta Conferencia Nacional de Gobernadores, el </w:t>
      </w:r>
      <w:r w:rsidR="0012561C" w:rsidRPr="006C5B5E">
        <w:rPr>
          <w:rFonts w:ascii="Arial" w:hAnsi="Arial" w:cs="Arial"/>
          <w:sz w:val="24"/>
          <w:szCs w:val="24"/>
        </w:rPr>
        <w:t xml:space="preserve">Instituto Nacional de las Personas Adultas Mayores </w:t>
      </w:r>
      <w:r w:rsidRPr="006C5B5E">
        <w:rPr>
          <w:rFonts w:ascii="Arial" w:hAnsi="Arial" w:cs="Arial"/>
          <w:sz w:val="24"/>
          <w:szCs w:val="24"/>
        </w:rPr>
        <w:t xml:space="preserve">extiende </w:t>
      </w:r>
      <w:r w:rsidR="0012561C" w:rsidRPr="006C5B5E">
        <w:rPr>
          <w:rFonts w:ascii="Arial" w:hAnsi="Arial" w:cs="Arial"/>
          <w:sz w:val="24"/>
          <w:szCs w:val="24"/>
        </w:rPr>
        <w:t>un</w:t>
      </w:r>
      <w:r w:rsidR="00E86464" w:rsidRPr="006C5B5E">
        <w:rPr>
          <w:rFonts w:ascii="Arial" w:hAnsi="Arial" w:cs="Arial"/>
          <w:sz w:val="24"/>
          <w:szCs w:val="24"/>
        </w:rPr>
        <w:t xml:space="preserve"> respetuoso exhorto</w:t>
      </w:r>
      <w:r w:rsidR="0012561C" w:rsidRPr="006C5B5E">
        <w:rPr>
          <w:rFonts w:ascii="Arial" w:hAnsi="Arial" w:cs="Arial"/>
          <w:sz w:val="24"/>
          <w:szCs w:val="24"/>
        </w:rPr>
        <w:t xml:space="preserve"> </w:t>
      </w:r>
      <w:r w:rsidRPr="006C5B5E">
        <w:rPr>
          <w:rFonts w:ascii="Arial" w:hAnsi="Arial" w:cs="Arial"/>
          <w:sz w:val="24"/>
          <w:szCs w:val="24"/>
        </w:rPr>
        <w:t>a los líderes de los 3</w:t>
      </w:r>
      <w:r w:rsidR="0012561C" w:rsidRPr="006C5B5E">
        <w:rPr>
          <w:rFonts w:ascii="Arial" w:hAnsi="Arial" w:cs="Arial"/>
          <w:sz w:val="24"/>
          <w:szCs w:val="24"/>
        </w:rPr>
        <w:t>2</w:t>
      </w:r>
      <w:r w:rsidRPr="006C5B5E">
        <w:rPr>
          <w:rFonts w:ascii="Arial" w:hAnsi="Arial" w:cs="Arial"/>
          <w:sz w:val="24"/>
          <w:szCs w:val="24"/>
        </w:rPr>
        <w:t xml:space="preserve"> gobiernos </w:t>
      </w:r>
      <w:r w:rsidR="0012561C" w:rsidRPr="006C5B5E">
        <w:rPr>
          <w:rFonts w:ascii="Arial" w:hAnsi="Arial" w:cs="Arial"/>
          <w:sz w:val="24"/>
          <w:szCs w:val="24"/>
        </w:rPr>
        <w:t xml:space="preserve">estatales y del Distrito Federal </w:t>
      </w:r>
      <w:r w:rsidR="006C1807" w:rsidRPr="006C5B5E">
        <w:rPr>
          <w:rFonts w:ascii="Arial" w:hAnsi="Arial" w:cs="Arial"/>
          <w:sz w:val="24"/>
          <w:szCs w:val="24"/>
        </w:rPr>
        <w:t>a</w:t>
      </w:r>
      <w:r w:rsidRPr="006C5B5E">
        <w:rPr>
          <w:rFonts w:ascii="Arial" w:hAnsi="Arial" w:cs="Arial"/>
          <w:sz w:val="24"/>
          <w:szCs w:val="24"/>
        </w:rPr>
        <w:t xml:space="preserve"> </w:t>
      </w:r>
      <w:r w:rsidR="006C1807" w:rsidRPr="006C5B5E">
        <w:rPr>
          <w:rFonts w:ascii="Arial" w:hAnsi="Arial" w:cs="Arial"/>
          <w:sz w:val="24"/>
          <w:szCs w:val="24"/>
        </w:rPr>
        <w:t>priorizar</w:t>
      </w:r>
      <w:r w:rsidRPr="006C5B5E">
        <w:rPr>
          <w:rFonts w:ascii="Arial" w:hAnsi="Arial" w:cs="Arial"/>
          <w:sz w:val="24"/>
          <w:szCs w:val="24"/>
        </w:rPr>
        <w:t xml:space="preserve"> </w:t>
      </w:r>
      <w:r w:rsidR="004A4A4E" w:rsidRPr="006C5B5E">
        <w:rPr>
          <w:rFonts w:ascii="Arial" w:hAnsi="Arial" w:cs="Arial"/>
          <w:sz w:val="24"/>
          <w:szCs w:val="24"/>
        </w:rPr>
        <w:t>el T</w:t>
      </w:r>
      <w:r w:rsidR="0012561C" w:rsidRPr="006C5B5E">
        <w:rPr>
          <w:rFonts w:ascii="Arial" w:hAnsi="Arial" w:cs="Arial"/>
          <w:sz w:val="24"/>
          <w:szCs w:val="24"/>
        </w:rPr>
        <w:t xml:space="preserve">ema de Envejecimiento y </w:t>
      </w:r>
      <w:r w:rsidRPr="006C5B5E">
        <w:rPr>
          <w:rFonts w:ascii="Arial" w:hAnsi="Arial" w:cs="Arial"/>
          <w:sz w:val="24"/>
          <w:szCs w:val="24"/>
        </w:rPr>
        <w:t xml:space="preserve">la labor del Instituto a favor de las personas adultas mayores, </w:t>
      </w:r>
      <w:r w:rsidR="0012561C" w:rsidRPr="006C5B5E">
        <w:rPr>
          <w:rFonts w:ascii="Arial" w:hAnsi="Arial" w:cs="Arial"/>
          <w:sz w:val="24"/>
          <w:szCs w:val="24"/>
        </w:rPr>
        <w:t>adoptando los siguientes</w:t>
      </w:r>
    </w:p>
    <w:p w:rsidR="0012561C" w:rsidRPr="006C5B5E" w:rsidRDefault="0012561C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E3C56" w:rsidRPr="006C5B5E" w:rsidRDefault="0012561C" w:rsidP="0012561C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6C5B5E">
        <w:rPr>
          <w:rFonts w:ascii="Arial" w:hAnsi="Arial" w:cs="Arial"/>
          <w:b/>
          <w:sz w:val="24"/>
          <w:szCs w:val="24"/>
        </w:rPr>
        <w:t>Puntos de Acuerdo</w:t>
      </w:r>
    </w:p>
    <w:p w:rsidR="0012561C" w:rsidRPr="006C5B5E" w:rsidRDefault="0012561C" w:rsidP="007E3C5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62A8E" w:rsidRPr="006C5B5E" w:rsidRDefault="005D44A0" w:rsidP="00D62A8E">
      <w:pPr>
        <w:pStyle w:val="Sinespaciado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Respaldar </w:t>
      </w:r>
      <w:r w:rsidR="00D62A8E" w:rsidRPr="006C5B5E">
        <w:rPr>
          <w:rFonts w:ascii="Arial" w:hAnsi="Arial" w:cs="Arial"/>
          <w:sz w:val="24"/>
          <w:szCs w:val="24"/>
        </w:rPr>
        <w:t>la firma de Convenios de Colaboración con todas las entidades federativas y el Instituto, que comprenda compartir información para diseñar políticas públicas en beneficio de la población adulta mayor así como promover acciones de sensibilización en materia geriátrica y gerontológica para contribuir a la consolidación de una cultura de envejecimiento.</w:t>
      </w:r>
    </w:p>
    <w:p w:rsidR="007E3C56" w:rsidRPr="006C5B5E" w:rsidRDefault="007E3C56" w:rsidP="0012561C">
      <w:pPr>
        <w:pStyle w:val="Sinespaciado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Consolidar información </w:t>
      </w:r>
      <w:r w:rsidR="005D44A0" w:rsidRPr="006C5B5E">
        <w:rPr>
          <w:rFonts w:ascii="Arial" w:hAnsi="Arial" w:cs="Arial"/>
          <w:sz w:val="24"/>
          <w:szCs w:val="24"/>
        </w:rPr>
        <w:t xml:space="preserve">a nivel estatal </w:t>
      </w:r>
      <w:r w:rsidRPr="006C5B5E">
        <w:rPr>
          <w:rFonts w:ascii="Arial" w:hAnsi="Arial" w:cs="Arial"/>
          <w:sz w:val="24"/>
          <w:szCs w:val="24"/>
        </w:rPr>
        <w:t>de los Programas y acciones orientadas a la atención de personas adultas mayores</w:t>
      </w:r>
      <w:r w:rsidR="00D62A8E" w:rsidRPr="006C5B5E">
        <w:rPr>
          <w:rFonts w:ascii="Arial" w:hAnsi="Arial" w:cs="Arial"/>
          <w:sz w:val="24"/>
          <w:szCs w:val="24"/>
        </w:rPr>
        <w:t>.</w:t>
      </w:r>
    </w:p>
    <w:p w:rsidR="00EB750E" w:rsidRPr="006C5B5E" w:rsidRDefault="007E3C56" w:rsidP="004A4A4E">
      <w:pPr>
        <w:pStyle w:val="Sinespaciado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C5B5E">
        <w:rPr>
          <w:rFonts w:ascii="Arial" w:hAnsi="Arial" w:cs="Arial"/>
          <w:sz w:val="24"/>
          <w:szCs w:val="24"/>
        </w:rPr>
        <w:t xml:space="preserve">Consolidar la integración </w:t>
      </w:r>
      <w:r w:rsidR="005D44A0" w:rsidRPr="006C5B5E">
        <w:rPr>
          <w:rFonts w:ascii="Arial" w:hAnsi="Arial" w:cs="Arial"/>
          <w:sz w:val="24"/>
          <w:szCs w:val="24"/>
        </w:rPr>
        <w:t xml:space="preserve">en los estados </w:t>
      </w:r>
      <w:r w:rsidRPr="006C5B5E">
        <w:rPr>
          <w:rFonts w:ascii="Arial" w:hAnsi="Arial" w:cs="Arial"/>
          <w:sz w:val="24"/>
          <w:szCs w:val="24"/>
        </w:rPr>
        <w:t>de un ce</w:t>
      </w:r>
      <w:r w:rsidR="00D62A8E" w:rsidRPr="006C5B5E">
        <w:rPr>
          <w:rFonts w:ascii="Arial" w:hAnsi="Arial" w:cs="Arial"/>
          <w:sz w:val="24"/>
          <w:szCs w:val="24"/>
        </w:rPr>
        <w:t>n</w:t>
      </w:r>
      <w:r w:rsidRPr="006C5B5E">
        <w:rPr>
          <w:rFonts w:ascii="Arial" w:hAnsi="Arial" w:cs="Arial"/>
          <w:sz w:val="24"/>
          <w:szCs w:val="24"/>
        </w:rPr>
        <w:t>so de instancias que atienden personas adultas mayores</w:t>
      </w:r>
      <w:r w:rsidR="00D62A8E" w:rsidRPr="006C5B5E">
        <w:rPr>
          <w:rFonts w:ascii="Arial" w:hAnsi="Arial" w:cs="Arial"/>
          <w:sz w:val="24"/>
          <w:szCs w:val="24"/>
        </w:rPr>
        <w:t>.</w:t>
      </w:r>
    </w:p>
    <w:sectPr w:rsidR="00EB750E" w:rsidRPr="006C5B5E" w:rsidSect="006A6E6B">
      <w:headerReference w:type="default" r:id="rId9"/>
      <w:footerReference w:type="default" r:id="rId10"/>
      <w:pgSz w:w="12240" w:h="15840"/>
      <w:pgMar w:top="1418" w:right="1247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7E1" w:rsidRDefault="00CC37E1" w:rsidP="00554B82">
      <w:pPr>
        <w:spacing w:after="0" w:line="240" w:lineRule="auto"/>
      </w:pPr>
      <w:r>
        <w:separator/>
      </w:r>
    </w:p>
  </w:endnote>
  <w:endnote w:type="continuationSeparator" w:id="0">
    <w:p w:rsidR="00CC37E1" w:rsidRDefault="00CC37E1" w:rsidP="0055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alatino Linotype" w:hAnsi="Palatino Linotype"/>
        <w:sz w:val="20"/>
        <w:szCs w:val="20"/>
      </w:rPr>
      <w:id w:val="-669175015"/>
      <w:docPartObj>
        <w:docPartGallery w:val="Page Numbers (Bottom of Page)"/>
        <w:docPartUnique/>
      </w:docPartObj>
    </w:sdtPr>
    <w:sdtEndPr/>
    <w:sdtContent>
      <w:sdt>
        <w:sdtPr>
          <w:rPr>
            <w:rFonts w:ascii="Palatino Linotype" w:hAnsi="Palatino Linotype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E3C56" w:rsidRPr="007E3C56" w:rsidRDefault="007E3C56">
            <w:pPr>
              <w:pStyle w:val="Piedepgina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7E3C56">
              <w:rPr>
                <w:rFonts w:ascii="Palatino Linotype" w:hAnsi="Palatino Linotype"/>
                <w:sz w:val="20"/>
                <w:szCs w:val="20"/>
              </w:rPr>
              <w:t xml:space="preserve">Página </w: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begin"/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instrText>PAGE</w:instrTex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separate"/>
            </w:r>
            <w:r w:rsidR="000A285E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end"/>
            </w:r>
            <w:r w:rsidRPr="007E3C56">
              <w:rPr>
                <w:rFonts w:ascii="Palatino Linotype" w:hAnsi="Palatino Linotype"/>
                <w:sz w:val="20"/>
                <w:szCs w:val="20"/>
              </w:rPr>
              <w:t xml:space="preserve"> de </w: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begin"/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instrText>NUMPAGES</w:instrTex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separate"/>
            </w:r>
            <w:r w:rsidR="000A285E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  <w:r w:rsidRPr="007E3C56">
              <w:rPr>
                <w:rFonts w:ascii="Palatino Linotype" w:hAnsi="Palatino Linotype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E3C56" w:rsidRDefault="007E3C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7E1" w:rsidRDefault="00CC37E1" w:rsidP="00554B82">
      <w:pPr>
        <w:spacing w:after="0" w:line="240" w:lineRule="auto"/>
      </w:pPr>
      <w:r>
        <w:separator/>
      </w:r>
    </w:p>
  </w:footnote>
  <w:footnote w:type="continuationSeparator" w:id="0">
    <w:p w:rsidR="00CC37E1" w:rsidRDefault="00CC37E1" w:rsidP="00554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B82" w:rsidRDefault="00554B82" w:rsidP="003D7D84">
    <w:pPr>
      <w:pStyle w:val="Encabezado"/>
      <w:tabs>
        <w:tab w:val="clear" w:pos="4419"/>
        <w:tab w:val="clear" w:pos="8838"/>
      </w:tabs>
      <w:jc w:val="center"/>
    </w:pPr>
    <w:r w:rsidRPr="002610C0">
      <w:rPr>
        <w:sz w:val="32"/>
        <w:szCs w:val="32"/>
        <w:lang w:val="es-MX" w:eastAsia="es-MX"/>
      </w:rPr>
      <w:drawing>
        <wp:inline distT="0" distB="0" distL="0" distR="0" wp14:anchorId="29087452" wp14:editId="4463339F">
          <wp:extent cx="1584659" cy="676275"/>
          <wp:effectExtent l="0" t="0" r="0" b="0"/>
          <wp:docPr id="2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312" cy="696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3D7D84">
      <w:tab/>
    </w:r>
    <w:r w:rsidR="003D7D84">
      <w:tab/>
    </w:r>
    <w:r w:rsidR="003D7D84">
      <w:tab/>
    </w:r>
    <w:r w:rsidR="00B43878">
      <w:rPr>
        <w:rFonts w:ascii="Tahoma" w:hAnsi="Tahoma" w:cs="Tahoma"/>
        <w:color w:val="333333"/>
        <w:sz w:val="18"/>
        <w:szCs w:val="18"/>
        <w:lang w:val="es-MX" w:eastAsia="es-MX"/>
      </w:rPr>
      <w:drawing>
        <wp:inline distT="0" distB="0" distL="0" distR="0" wp14:anchorId="2CC03FB1" wp14:editId="6658367A">
          <wp:extent cx="1727228" cy="607481"/>
          <wp:effectExtent l="0" t="0" r="6350" b="2540"/>
          <wp:docPr id="3" name="Imagen 3" descr="CONAG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AGO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28" cy="607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7D84">
      <w:tab/>
    </w:r>
    <w:r w:rsidR="003D7D84">
      <w:tab/>
    </w:r>
    <w:r w:rsidR="003D7D84">
      <w:tab/>
    </w:r>
    <w:r w:rsidR="003D7D84">
      <w:tab/>
    </w:r>
    <w:r w:rsidR="003D7D84">
      <w:tab/>
    </w:r>
    <w:r w:rsidRPr="002610C0">
      <w:rPr>
        <w:sz w:val="32"/>
        <w:szCs w:val="32"/>
        <w:lang w:val="es-MX" w:eastAsia="es-MX"/>
      </w:rPr>
      <w:drawing>
        <wp:inline distT="0" distB="0" distL="0" distR="0" wp14:anchorId="612EC39B" wp14:editId="5A12F09E">
          <wp:extent cx="1682115" cy="514877"/>
          <wp:effectExtent l="0" t="0" r="0" b="0"/>
          <wp:docPr id="4" name="Imagen 9" descr="Inap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9" descr="Inapam.jp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155" cy="5289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809"/>
    <w:multiLevelType w:val="hybridMultilevel"/>
    <w:tmpl w:val="8ABA7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70F2"/>
    <w:multiLevelType w:val="hybridMultilevel"/>
    <w:tmpl w:val="7E54CB6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C1207"/>
    <w:multiLevelType w:val="hybridMultilevel"/>
    <w:tmpl w:val="A0BE3260"/>
    <w:lvl w:ilvl="0" w:tplc="800A7A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071E8"/>
    <w:multiLevelType w:val="hybridMultilevel"/>
    <w:tmpl w:val="3DEE518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E1AF0"/>
    <w:multiLevelType w:val="hybridMultilevel"/>
    <w:tmpl w:val="596029FA"/>
    <w:lvl w:ilvl="0" w:tplc="800A7A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trike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0833D9"/>
    <w:multiLevelType w:val="hybridMultilevel"/>
    <w:tmpl w:val="5E94BE3A"/>
    <w:lvl w:ilvl="0" w:tplc="600287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4420D9"/>
    <w:multiLevelType w:val="hybridMultilevel"/>
    <w:tmpl w:val="6238801C"/>
    <w:lvl w:ilvl="0" w:tplc="CF48A5AA">
      <w:start w:val="1"/>
      <w:numFmt w:val="bullet"/>
      <w:lvlText w:val=""/>
      <w:lvlJc w:val="left"/>
      <w:pPr>
        <w:ind w:left="1428" w:hanging="360"/>
      </w:pPr>
      <w:rPr>
        <w:rFonts w:ascii="Wingdings" w:hAnsi="Wingdings" w:hint="default"/>
      </w:rPr>
    </w:lvl>
    <w:lvl w:ilvl="1" w:tplc="CF48A5AA">
      <w:start w:val="1"/>
      <w:numFmt w:val="bullet"/>
      <w:lvlText w:val=""/>
      <w:lvlJc w:val="left"/>
      <w:pPr>
        <w:ind w:left="214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5AB647B"/>
    <w:multiLevelType w:val="hybridMultilevel"/>
    <w:tmpl w:val="74AA1FAC"/>
    <w:lvl w:ilvl="0" w:tplc="7F8EF63C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8E"/>
    <w:rsid w:val="000050AB"/>
    <w:rsid w:val="000614D4"/>
    <w:rsid w:val="00067D81"/>
    <w:rsid w:val="000702FC"/>
    <w:rsid w:val="00076EAC"/>
    <w:rsid w:val="000A19F7"/>
    <w:rsid w:val="000A285E"/>
    <w:rsid w:val="000C72B9"/>
    <w:rsid w:val="00110629"/>
    <w:rsid w:val="00120E25"/>
    <w:rsid w:val="0012561C"/>
    <w:rsid w:val="0014360D"/>
    <w:rsid w:val="001840A9"/>
    <w:rsid w:val="00197E35"/>
    <w:rsid w:val="001C1987"/>
    <w:rsid w:val="002017D3"/>
    <w:rsid w:val="00204FC2"/>
    <w:rsid w:val="00251C18"/>
    <w:rsid w:val="0037571D"/>
    <w:rsid w:val="003D7D84"/>
    <w:rsid w:val="0040772E"/>
    <w:rsid w:val="00444D4E"/>
    <w:rsid w:val="00455D86"/>
    <w:rsid w:val="004A3EA9"/>
    <w:rsid w:val="004A4A4E"/>
    <w:rsid w:val="004E386F"/>
    <w:rsid w:val="00500409"/>
    <w:rsid w:val="0050643B"/>
    <w:rsid w:val="00514AB7"/>
    <w:rsid w:val="00550A42"/>
    <w:rsid w:val="00554B82"/>
    <w:rsid w:val="005C1E2B"/>
    <w:rsid w:val="005D44A0"/>
    <w:rsid w:val="005E1C3E"/>
    <w:rsid w:val="005F7106"/>
    <w:rsid w:val="006202E1"/>
    <w:rsid w:val="00677777"/>
    <w:rsid w:val="006A6E6B"/>
    <w:rsid w:val="006B1932"/>
    <w:rsid w:val="006C1807"/>
    <w:rsid w:val="006C3080"/>
    <w:rsid w:val="006C5B5E"/>
    <w:rsid w:val="007205CF"/>
    <w:rsid w:val="00724BF1"/>
    <w:rsid w:val="00725019"/>
    <w:rsid w:val="007566CE"/>
    <w:rsid w:val="007C34E0"/>
    <w:rsid w:val="007E3C56"/>
    <w:rsid w:val="00830F41"/>
    <w:rsid w:val="008552CA"/>
    <w:rsid w:val="008B6BCF"/>
    <w:rsid w:val="008D6CCF"/>
    <w:rsid w:val="008F42DD"/>
    <w:rsid w:val="009A1ED5"/>
    <w:rsid w:val="009B5D70"/>
    <w:rsid w:val="009D1DBC"/>
    <w:rsid w:val="00A43EE4"/>
    <w:rsid w:val="00A71EFB"/>
    <w:rsid w:val="00A96827"/>
    <w:rsid w:val="00AA1F8A"/>
    <w:rsid w:val="00AE69DC"/>
    <w:rsid w:val="00B43878"/>
    <w:rsid w:val="00BB6D2A"/>
    <w:rsid w:val="00C82318"/>
    <w:rsid w:val="00CC37E1"/>
    <w:rsid w:val="00D27D53"/>
    <w:rsid w:val="00D33970"/>
    <w:rsid w:val="00D61F81"/>
    <w:rsid w:val="00D62A8E"/>
    <w:rsid w:val="00DA2548"/>
    <w:rsid w:val="00DB3714"/>
    <w:rsid w:val="00DE5D9D"/>
    <w:rsid w:val="00DF7F59"/>
    <w:rsid w:val="00E23944"/>
    <w:rsid w:val="00E34F8E"/>
    <w:rsid w:val="00E467E5"/>
    <w:rsid w:val="00E86464"/>
    <w:rsid w:val="00EB750E"/>
    <w:rsid w:val="00EC032F"/>
    <w:rsid w:val="00F34D10"/>
    <w:rsid w:val="00F804F9"/>
    <w:rsid w:val="00FC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F8E"/>
    <w:pPr>
      <w:spacing w:after="200" w:line="276" w:lineRule="auto"/>
    </w:pPr>
    <w:rPr>
      <w:rFonts w:ascii="Calibri" w:eastAsia="Calibri" w:hAnsi="Calibri" w:cs="Times New Roman"/>
      <w:noProof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4F8E"/>
    <w:pPr>
      <w:ind w:left="720"/>
      <w:contextualSpacing/>
    </w:pPr>
    <w:rPr>
      <w:rFonts w:eastAsia="Times New Roman"/>
    </w:rPr>
  </w:style>
  <w:style w:type="character" w:styleId="nfasis">
    <w:name w:val="Emphasis"/>
    <w:uiPriority w:val="20"/>
    <w:qFormat/>
    <w:rsid w:val="00E34F8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4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F8E"/>
    <w:rPr>
      <w:rFonts w:ascii="Segoe UI" w:eastAsia="Calibri" w:hAnsi="Segoe UI" w:cs="Segoe UI"/>
      <w:noProof/>
      <w:sz w:val="18"/>
      <w:szCs w:val="18"/>
      <w:lang w:val="es-ES"/>
    </w:rPr>
  </w:style>
  <w:style w:type="paragraph" w:styleId="Sinespaciado">
    <w:name w:val="No Spacing"/>
    <w:uiPriority w:val="1"/>
    <w:qFormat/>
    <w:rsid w:val="00F34D10"/>
    <w:pPr>
      <w:spacing w:after="0" w:line="240" w:lineRule="auto"/>
    </w:pPr>
    <w:rPr>
      <w:rFonts w:ascii="Calibri" w:eastAsia="Calibri" w:hAnsi="Calibri" w:cs="Times New Roman"/>
      <w:noProof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5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B82"/>
    <w:rPr>
      <w:rFonts w:ascii="Calibri" w:eastAsia="Calibri" w:hAnsi="Calibri" w:cs="Times New Roman"/>
      <w:noProof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5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82"/>
    <w:rPr>
      <w:rFonts w:ascii="Calibri" w:eastAsia="Calibri" w:hAnsi="Calibri" w:cs="Times New Roman"/>
      <w:noProof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F8E"/>
    <w:pPr>
      <w:spacing w:after="200" w:line="276" w:lineRule="auto"/>
    </w:pPr>
    <w:rPr>
      <w:rFonts w:ascii="Calibri" w:eastAsia="Calibri" w:hAnsi="Calibri" w:cs="Times New Roman"/>
      <w:noProof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4F8E"/>
    <w:pPr>
      <w:ind w:left="720"/>
      <w:contextualSpacing/>
    </w:pPr>
    <w:rPr>
      <w:rFonts w:eastAsia="Times New Roman"/>
    </w:rPr>
  </w:style>
  <w:style w:type="character" w:styleId="nfasis">
    <w:name w:val="Emphasis"/>
    <w:uiPriority w:val="20"/>
    <w:qFormat/>
    <w:rsid w:val="00E34F8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4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F8E"/>
    <w:rPr>
      <w:rFonts w:ascii="Segoe UI" w:eastAsia="Calibri" w:hAnsi="Segoe UI" w:cs="Segoe UI"/>
      <w:noProof/>
      <w:sz w:val="18"/>
      <w:szCs w:val="18"/>
      <w:lang w:val="es-ES"/>
    </w:rPr>
  </w:style>
  <w:style w:type="paragraph" w:styleId="Sinespaciado">
    <w:name w:val="No Spacing"/>
    <w:uiPriority w:val="1"/>
    <w:qFormat/>
    <w:rsid w:val="00F34D10"/>
    <w:pPr>
      <w:spacing w:after="0" w:line="240" w:lineRule="auto"/>
    </w:pPr>
    <w:rPr>
      <w:rFonts w:ascii="Calibri" w:eastAsia="Calibri" w:hAnsi="Calibri" w:cs="Times New Roman"/>
      <w:noProof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5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B82"/>
    <w:rPr>
      <w:rFonts w:ascii="Calibri" w:eastAsia="Calibri" w:hAnsi="Calibri" w:cs="Times New Roman"/>
      <w:noProof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5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82"/>
    <w:rPr>
      <w:rFonts w:ascii="Calibri" w:eastAsia="Calibri" w:hAnsi="Calibri" w:cs="Times New Roman"/>
      <w:noProof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conago.org.mx/Default.aspx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CAAE9-3535-418F-86EC-CC583C93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SUBDIRECCIONCYP</dc:creator>
  <cp:lastModifiedBy>Yani</cp:lastModifiedBy>
  <cp:revision>2</cp:revision>
  <cp:lastPrinted>2015-07-06T20:07:00Z</cp:lastPrinted>
  <dcterms:created xsi:type="dcterms:W3CDTF">2015-07-06T20:11:00Z</dcterms:created>
  <dcterms:modified xsi:type="dcterms:W3CDTF">2015-07-06T20:11:00Z</dcterms:modified>
</cp:coreProperties>
</file>