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03" w:rsidRDefault="00DA7C15" w:rsidP="00FE4BAB">
      <w:pPr>
        <w:keepNext/>
        <w:keepLines/>
        <w:jc w:val="center"/>
        <w:rPr>
          <w:b/>
          <w:i/>
          <w:sz w:val="24"/>
          <w:szCs w:val="24"/>
          <w:u w:val="single"/>
        </w:rPr>
      </w:pPr>
      <w:r w:rsidRPr="00DA7C15">
        <w:rPr>
          <w:b/>
          <w:i/>
          <w:sz w:val="24"/>
          <w:szCs w:val="24"/>
          <w:u w:val="single"/>
        </w:rPr>
        <w:t>Informe de la Comisión de Minería de la Conferencia Nacional de Gobernadores</w:t>
      </w:r>
      <w:r w:rsidR="00860662">
        <w:rPr>
          <w:b/>
          <w:i/>
          <w:sz w:val="24"/>
          <w:szCs w:val="24"/>
          <w:u w:val="single"/>
        </w:rPr>
        <w:t xml:space="preserve"> (</w:t>
      </w:r>
      <w:proofErr w:type="spellStart"/>
      <w:r w:rsidRPr="00DA7C15">
        <w:rPr>
          <w:b/>
          <w:i/>
          <w:sz w:val="24"/>
          <w:szCs w:val="24"/>
          <w:u w:val="single"/>
        </w:rPr>
        <w:t>C</w:t>
      </w:r>
      <w:r w:rsidR="00860662">
        <w:rPr>
          <w:b/>
          <w:i/>
          <w:sz w:val="24"/>
          <w:szCs w:val="24"/>
          <w:u w:val="single"/>
        </w:rPr>
        <w:t>onago</w:t>
      </w:r>
      <w:proofErr w:type="spellEnd"/>
      <w:r w:rsidR="00860662">
        <w:rPr>
          <w:b/>
          <w:i/>
          <w:sz w:val="24"/>
          <w:szCs w:val="24"/>
          <w:u w:val="single"/>
        </w:rPr>
        <w:t>)</w:t>
      </w:r>
    </w:p>
    <w:p w:rsidR="00FE4BAB" w:rsidRDefault="00FE4BAB" w:rsidP="00FE4BAB">
      <w:pPr>
        <w:keepNext/>
        <w:keepLines/>
        <w:jc w:val="center"/>
        <w:rPr>
          <w:b/>
          <w:i/>
          <w:sz w:val="24"/>
          <w:szCs w:val="24"/>
          <w:u w:val="single"/>
        </w:rPr>
      </w:pPr>
    </w:p>
    <w:p w:rsidR="00092066" w:rsidRPr="00092066" w:rsidRDefault="00092066" w:rsidP="00FE4BAB">
      <w:pPr>
        <w:keepNext/>
        <w:keepLines/>
        <w:spacing w:line="360" w:lineRule="auto"/>
        <w:jc w:val="both"/>
        <w:rPr>
          <w:b/>
          <w:sz w:val="32"/>
          <w:szCs w:val="32"/>
        </w:rPr>
      </w:pPr>
      <w:r w:rsidRPr="00092066">
        <w:rPr>
          <w:b/>
          <w:sz w:val="32"/>
          <w:szCs w:val="32"/>
        </w:rPr>
        <w:t>Introducción</w:t>
      </w:r>
    </w:p>
    <w:p w:rsidR="005D71B2" w:rsidRDefault="00EF2D9F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EF2D9F">
        <w:rPr>
          <w:sz w:val="32"/>
          <w:szCs w:val="32"/>
        </w:rPr>
        <w:t>En</w:t>
      </w:r>
      <w:r w:rsidR="00A97DBE">
        <w:rPr>
          <w:sz w:val="32"/>
          <w:szCs w:val="32"/>
        </w:rPr>
        <w:t xml:space="preserve"> cumplimiento de</w:t>
      </w:r>
      <w:r w:rsidR="009E1EFC">
        <w:rPr>
          <w:sz w:val="32"/>
          <w:szCs w:val="32"/>
        </w:rPr>
        <w:t xml:space="preserve"> mi responsabilidad </w:t>
      </w:r>
      <w:r>
        <w:rPr>
          <w:sz w:val="32"/>
          <w:szCs w:val="32"/>
        </w:rPr>
        <w:t xml:space="preserve">como </w:t>
      </w:r>
      <w:r w:rsidRPr="00EF2D9F">
        <w:rPr>
          <w:sz w:val="32"/>
          <w:szCs w:val="32"/>
        </w:rPr>
        <w:t xml:space="preserve">Coordinador de la Comisión de Minería de la </w:t>
      </w:r>
      <w:r>
        <w:rPr>
          <w:sz w:val="32"/>
          <w:szCs w:val="32"/>
        </w:rPr>
        <w:t>Conferencia Nacional de Gobernadores</w:t>
      </w:r>
      <w:r w:rsidR="0033120F">
        <w:rPr>
          <w:sz w:val="32"/>
          <w:szCs w:val="32"/>
        </w:rPr>
        <w:t xml:space="preserve"> </w:t>
      </w:r>
      <w:r w:rsidR="007847D4">
        <w:rPr>
          <w:sz w:val="32"/>
          <w:szCs w:val="32"/>
        </w:rPr>
        <w:t>(</w:t>
      </w:r>
      <w:r w:rsidRPr="00EF2D9F">
        <w:rPr>
          <w:sz w:val="32"/>
          <w:szCs w:val="32"/>
        </w:rPr>
        <w:t>CONAGO</w:t>
      </w:r>
      <w:r w:rsidR="007847D4">
        <w:rPr>
          <w:sz w:val="32"/>
          <w:szCs w:val="32"/>
        </w:rPr>
        <w:t>)</w:t>
      </w:r>
      <w:r w:rsidR="00172203">
        <w:rPr>
          <w:sz w:val="32"/>
          <w:szCs w:val="32"/>
        </w:rPr>
        <w:t>,</w:t>
      </w:r>
      <w:r>
        <w:rPr>
          <w:sz w:val="32"/>
          <w:szCs w:val="32"/>
        </w:rPr>
        <w:t xml:space="preserve"> presento el </w:t>
      </w:r>
      <w:r w:rsidR="002F57C4">
        <w:rPr>
          <w:sz w:val="32"/>
          <w:szCs w:val="32"/>
        </w:rPr>
        <w:t xml:space="preserve">informe </w:t>
      </w:r>
      <w:r>
        <w:rPr>
          <w:sz w:val="32"/>
          <w:szCs w:val="32"/>
        </w:rPr>
        <w:t xml:space="preserve">que detalla los avances y logros </w:t>
      </w:r>
      <w:r w:rsidR="00172203">
        <w:rPr>
          <w:sz w:val="32"/>
          <w:szCs w:val="32"/>
        </w:rPr>
        <w:t>de este órgano</w:t>
      </w:r>
      <w:r>
        <w:rPr>
          <w:sz w:val="32"/>
          <w:szCs w:val="32"/>
        </w:rPr>
        <w:t>.</w:t>
      </w:r>
    </w:p>
    <w:p w:rsidR="005D71B2" w:rsidRDefault="00172203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1E07FD">
        <w:rPr>
          <w:sz w:val="32"/>
          <w:szCs w:val="32"/>
        </w:rPr>
        <w:t xml:space="preserve">a Comisión </w:t>
      </w:r>
      <w:r>
        <w:rPr>
          <w:sz w:val="32"/>
          <w:szCs w:val="32"/>
        </w:rPr>
        <w:t>fue creada el 18 de febrero de</w:t>
      </w:r>
      <w:r w:rsidR="003312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2013 </w:t>
      </w:r>
      <w:r w:rsidR="001E07FD">
        <w:rPr>
          <w:sz w:val="32"/>
          <w:szCs w:val="32"/>
        </w:rPr>
        <w:t xml:space="preserve">en la 44 </w:t>
      </w:r>
      <w:r w:rsidR="001E07FD" w:rsidRPr="001E07FD">
        <w:rPr>
          <w:sz w:val="32"/>
          <w:szCs w:val="32"/>
        </w:rPr>
        <w:t>Reunión Ordinaria de la Conferencia Nacional de Gobernadores, celebrada</w:t>
      </w:r>
      <w:r w:rsidR="00D55601">
        <w:rPr>
          <w:sz w:val="32"/>
          <w:szCs w:val="32"/>
        </w:rPr>
        <w:t xml:space="preserve"> en Chihuahua</w:t>
      </w:r>
      <w:r>
        <w:rPr>
          <w:sz w:val="32"/>
          <w:szCs w:val="32"/>
        </w:rPr>
        <w:t>,</w:t>
      </w:r>
      <w:r w:rsidR="00DF4196">
        <w:rPr>
          <w:sz w:val="32"/>
          <w:szCs w:val="32"/>
        </w:rPr>
        <w:t xml:space="preserve"> y en esa misma fecha </w:t>
      </w:r>
      <w:r w:rsidR="005D71B2">
        <w:rPr>
          <w:sz w:val="32"/>
          <w:szCs w:val="32"/>
        </w:rPr>
        <w:t>recibí la encomienda de</w:t>
      </w:r>
      <w:r w:rsidR="00E80BE7">
        <w:rPr>
          <w:sz w:val="32"/>
          <w:szCs w:val="32"/>
        </w:rPr>
        <w:t xml:space="preserve"> </w:t>
      </w:r>
      <w:r w:rsidR="005D71B2">
        <w:rPr>
          <w:sz w:val="32"/>
          <w:szCs w:val="32"/>
        </w:rPr>
        <w:t>coordinar</w:t>
      </w:r>
      <w:r>
        <w:rPr>
          <w:sz w:val="32"/>
          <w:szCs w:val="32"/>
        </w:rPr>
        <w:t>la</w:t>
      </w:r>
      <w:r w:rsidR="005D71B2">
        <w:rPr>
          <w:sz w:val="32"/>
          <w:szCs w:val="32"/>
        </w:rPr>
        <w:t>.</w:t>
      </w:r>
    </w:p>
    <w:p w:rsidR="005D71B2" w:rsidRDefault="001E07FD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1E07FD">
        <w:rPr>
          <w:sz w:val="32"/>
          <w:szCs w:val="32"/>
        </w:rPr>
        <w:t>El 20 de marzo</w:t>
      </w:r>
      <w:r>
        <w:rPr>
          <w:sz w:val="32"/>
          <w:szCs w:val="32"/>
        </w:rPr>
        <w:t xml:space="preserve"> del mismo año</w:t>
      </w:r>
      <w:r w:rsidR="009606B5">
        <w:rPr>
          <w:sz w:val="32"/>
          <w:szCs w:val="32"/>
        </w:rPr>
        <w:t xml:space="preserve"> se celebró</w:t>
      </w:r>
      <w:r w:rsidRPr="001E07FD">
        <w:rPr>
          <w:sz w:val="32"/>
          <w:szCs w:val="32"/>
        </w:rPr>
        <w:t xml:space="preserve"> la Primera Reunión de la Com</w:t>
      </w:r>
      <w:r>
        <w:rPr>
          <w:sz w:val="32"/>
          <w:szCs w:val="32"/>
        </w:rPr>
        <w:t xml:space="preserve">isión Técnica de la Comisión de </w:t>
      </w:r>
      <w:r w:rsidRPr="001E07FD">
        <w:rPr>
          <w:sz w:val="32"/>
          <w:szCs w:val="32"/>
        </w:rPr>
        <w:t xml:space="preserve">Minería, </w:t>
      </w:r>
      <w:r w:rsidR="00860B11">
        <w:rPr>
          <w:sz w:val="32"/>
          <w:szCs w:val="32"/>
        </w:rPr>
        <w:t xml:space="preserve">en la que </w:t>
      </w:r>
      <w:r w:rsidRPr="001E07FD">
        <w:rPr>
          <w:sz w:val="32"/>
          <w:szCs w:val="32"/>
        </w:rPr>
        <w:t xml:space="preserve">se presentó </w:t>
      </w:r>
      <w:r w:rsidR="00860B11">
        <w:rPr>
          <w:sz w:val="32"/>
          <w:szCs w:val="32"/>
        </w:rPr>
        <w:t xml:space="preserve">la agenda temática </w:t>
      </w:r>
      <w:r w:rsidRPr="001E07FD">
        <w:rPr>
          <w:sz w:val="32"/>
          <w:szCs w:val="32"/>
        </w:rPr>
        <w:t>a todas las entidades federativas</w:t>
      </w:r>
      <w:r>
        <w:rPr>
          <w:sz w:val="32"/>
          <w:szCs w:val="32"/>
        </w:rPr>
        <w:t>.</w:t>
      </w:r>
    </w:p>
    <w:p w:rsidR="005D71B2" w:rsidRDefault="002547A2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En la agenda temática convergen ideas, estrategias y líneas de acción para fortalecer el desarrollo de la actividad minera en el país.</w:t>
      </w:r>
    </w:p>
    <w:p w:rsidR="00782D42" w:rsidRDefault="002547A2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Las acciones que se realizan están agrupadas en </w:t>
      </w:r>
      <w:r w:rsidR="001E07FD" w:rsidRPr="001E07FD">
        <w:rPr>
          <w:sz w:val="32"/>
          <w:szCs w:val="32"/>
        </w:rPr>
        <w:t>cinco ejes estr</w:t>
      </w:r>
      <w:r w:rsidR="00591F16">
        <w:rPr>
          <w:sz w:val="32"/>
          <w:szCs w:val="32"/>
        </w:rPr>
        <w:t>atégicos: Desarrollo Sustentable</w:t>
      </w:r>
      <w:r w:rsidR="001E07FD" w:rsidRPr="001E07FD">
        <w:rPr>
          <w:sz w:val="32"/>
          <w:szCs w:val="32"/>
        </w:rPr>
        <w:t>, Respon</w:t>
      </w:r>
      <w:r>
        <w:rPr>
          <w:sz w:val="32"/>
          <w:szCs w:val="32"/>
        </w:rPr>
        <w:t xml:space="preserve">sabilidad Social, Innovación de </w:t>
      </w:r>
      <w:r w:rsidR="001E07FD" w:rsidRPr="001E07FD">
        <w:rPr>
          <w:sz w:val="32"/>
          <w:szCs w:val="32"/>
        </w:rPr>
        <w:t>Procesos y Desarrollo Tecnológico, Inversión y Banca de Desarrollo</w:t>
      </w:r>
      <w:r w:rsidR="008454B7">
        <w:rPr>
          <w:sz w:val="32"/>
          <w:szCs w:val="32"/>
        </w:rPr>
        <w:t>,</w:t>
      </w:r>
      <w:r w:rsidR="001E07FD" w:rsidRPr="001E07FD">
        <w:rPr>
          <w:sz w:val="32"/>
          <w:szCs w:val="32"/>
        </w:rPr>
        <w:t xml:space="preserve"> y Marco Legal.</w:t>
      </w:r>
    </w:p>
    <w:p w:rsidR="002F57C4" w:rsidRDefault="002F57C4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 continuación, se ofrece una sucinta explicación de cada eje</w:t>
      </w:r>
      <w:r w:rsidR="00276B29">
        <w:rPr>
          <w:sz w:val="32"/>
          <w:szCs w:val="32"/>
        </w:rPr>
        <w:t xml:space="preserve"> y sus respectivas estrategias</w:t>
      </w:r>
      <w:r>
        <w:rPr>
          <w:sz w:val="32"/>
          <w:szCs w:val="32"/>
        </w:rPr>
        <w:t>.</w:t>
      </w:r>
    </w:p>
    <w:p w:rsidR="00180FFB" w:rsidRDefault="00180FFB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</w:p>
    <w:p w:rsidR="00E5698F" w:rsidRDefault="00E5698F" w:rsidP="00FE4BAB">
      <w:pPr>
        <w:keepNext/>
        <w:keepLines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Estrategias</w:t>
      </w:r>
    </w:p>
    <w:p w:rsidR="00591F16" w:rsidRDefault="00591F16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 w:rsidRPr="00591F16">
        <w:rPr>
          <w:b/>
          <w:sz w:val="32"/>
          <w:szCs w:val="32"/>
        </w:rPr>
        <w:t xml:space="preserve">Eje Desarrollo </w:t>
      </w:r>
      <w:r w:rsidR="00276B29">
        <w:rPr>
          <w:b/>
          <w:sz w:val="32"/>
          <w:szCs w:val="32"/>
        </w:rPr>
        <w:t>Sustentable</w:t>
      </w:r>
    </w:p>
    <w:p w:rsidR="004922FA" w:rsidRDefault="00F87CF5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eje Desarrollo </w:t>
      </w:r>
      <w:r w:rsidR="00276B29">
        <w:rPr>
          <w:sz w:val="32"/>
          <w:szCs w:val="32"/>
        </w:rPr>
        <w:t xml:space="preserve">Sustentable </w:t>
      </w:r>
      <w:r w:rsidR="0015058F">
        <w:rPr>
          <w:sz w:val="32"/>
          <w:szCs w:val="32"/>
        </w:rPr>
        <w:t>finc</w:t>
      </w:r>
      <w:r w:rsidR="00E63C08">
        <w:rPr>
          <w:sz w:val="32"/>
          <w:szCs w:val="32"/>
        </w:rPr>
        <w:t>a</w:t>
      </w:r>
      <w:r w:rsidR="004922FA">
        <w:rPr>
          <w:sz w:val="32"/>
          <w:szCs w:val="32"/>
        </w:rPr>
        <w:t xml:space="preserve"> su estrategia </w:t>
      </w:r>
      <w:r w:rsidR="00971D11">
        <w:rPr>
          <w:sz w:val="32"/>
          <w:szCs w:val="32"/>
        </w:rPr>
        <w:t xml:space="preserve">en </w:t>
      </w:r>
      <w:r w:rsidR="008B5C66">
        <w:rPr>
          <w:sz w:val="32"/>
          <w:szCs w:val="32"/>
        </w:rPr>
        <w:t xml:space="preserve">la atención a factores como el agua, </w:t>
      </w:r>
      <w:r w:rsidR="00276B29">
        <w:rPr>
          <w:sz w:val="32"/>
          <w:szCs w:val="32"/>
        </w:rPr>
        <w:t xml:space="preserve">la degradación del </w:t>
      </w:r>
      <w:r w:rsidR="008B5C66">
        <w:rPr>
          <w:sz w:val="32"/>
          <w:szCs w:val="32"/>
        </w:rPr>
        <w:t>suelo, el manejo de residuos sólidos, líquidos y gaseosos, respetando la normatividad nacional e internacional y desarrollando una política integral minera.</w:t>
      </w:r>
    </w:p>
    <w:p w:rsidR="008B5C66" w:rsidRDefault="0049273C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Respecto al agua se propuso</w:t>
      </w:r>
      <w:r w:rsidR="00F7616C">
        <w:rPr>
          <w:sz w:val="32"/>
          <w:szCs w:val="32"/>
        </w:rPr>
        <w:t xml:space="preserve"> hacer énfasis en el abastecimiento y tratamiento para garantizar la sustentabilidad.</w:t>
      </w:r>
    </w:p>
    <w:p w:rsidR="00F7616C" w:rsidRDefault="00F7616C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relación al suelo y su degradación se </w:t>
      </w:r>
      <w:r w:rsidR="0049273C">
        <w:rPr>
          <w:sz w:val="32"/>
          <w:szCs w:val="32"/>
        </w:rPr>
        <w:t xml:space="preserve">acordó </w:t>
      </w:r>
      <w:r w:rsidR="00186714">
        <w:rPr>
          <w:sz w:val="32"/>
          <w:szCs w:val="32"/>
        </w:rPr>
        <w:t>que antes de proceder a la ejecución de proyectos mineros se asegure el establecimiento de zonas de amor</w:t>
      </w:r>
      <w:r w:rsidR="00E63C08">
        <w:rPr>
          <w:sz w:val="32"/>
          <w:szCs w:val="32"/>
        </w:rPr>
        <w:t>tiguamiento. Asimismo se sugirió</w:t>
      </w:r>
      <w:r w:rsidR="00186714">
        <w:rPr>
          <w:sz w:val="32"/>
          <w:szCs w:val="32"/>
        </w:rPr>
        <w:t xml:space="preserve"> </w:t>
      </w:r>
      <w:r w:rsidR="003238F2">
        <w:rPr>
          <w:sz w:val="32"/>
          <w:szCs w:val="32"/>
        </w:rPr>
        <w:t xml:space="preserve">adecuar </w:t>
      </w:r>
      <w:r w:rsidR="00186714">
        <w:rPr>
          <w:sz w:val="32"/>
          <w:szCs w:val="32"/>
        </w:rPr>
        <w:t>la normatividad ambiental para que se realicen medidas de mitigación de la actividad minera, tales como la reforestación.</w:t>
      </w:r>
    </w:p>
    <w:p w:rsidR="00F7616C" w:rsidRDefault="00186714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Para el manejo de escoria, líquidos, gases, terr</w:t>
      </w:r>
      <w:r w:rsidR="00B21CD7">
        <w:rPr>
          <w:sz w:val="32"/>
          <w:szCs w:val="32"/>
        </w:rPr>
        <w:t>enos, jales y sólidos se propuso</w:t>
      </w:r>
      <w:r>
        <w:rPr>
          <w:sz w:val="32"/>
          <w:szCs w:val="32"/>
        </w:rPr>
        <w:t xml:space="preserve"> la inclusión de instituciones estatales en el estudio de impacto ambiental, derivado de la minería.</w:t>
      </w:r>
    </w:p>
    <w:p w:rsidR="00186714" w:rsidRDefault="00E61BF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Aunado al cumplimiento de disposiciones legales en favor de la sustentabilidad, la agenda de la Comisión de Minería </w:t>
      </w:r>
      <w:r w:rsidR="00790725">
        <w:rPr>
          <w:sz w:val="32"/>
          <w:szCs w:val="32"/>
        </w:rPr>
        <w:t>aconsejó</w:t>
      </w:r>
      <w:r w:rsidR="00AB05E5">
        <w:rPr>
          <w:sz w:val="32"/>
          <w:szCs w:val="32"/>
        </w:rPr>
        <w:t xml:space="preserve"> la elaboración de programas de difusión que den a conocer y desmitifiquen la operación minera en sus diversas etapas y tipos de producción.</w:t>
      </w:r>
    </w:p>
    <w:p w:rsidR="008B09E3" w:rsidRDefault="008B09E3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estrategia del eje Desarrollo </w:t>
      </w:r>
      <w:r w:rsidR="00276B29">
        <w:rPr>
          <w:sz w:val="32"/>
          <w:szCs w:val="32"/>
        </w:rPr>
        <w:t xml:space="preserve">Sustentable </w:t>
      </w:r>
      <w:r w:rsidR="00F5172C">
        <w:rPr>
          <w:sz w:val="32"/>
          <w:szCs w:val="32"/>
        </w:rPr>
        <w:t xml:space="preserve">debe </w:t>
      </w:r>
      <w:r w:rsidR="00B70314">
        <w:rPr>
          <w:sz w:val="32"/>
          <w:szCs w:val="32"/>
        </w:rPr>
        <w:t>propiciar una política integral minera</w:t>
      </w:r>
      <w:r w:rsidR="00707198">
        <w:rPr>
          <w:sz w:val="32"/>
          <w:szCs w:val="32"/>
        </w:rPr>
        <w:t>, concebida como una política pública nacional, que considere factores regionales, económicos, sociales, laborales y ambientales.</w:t>
      </w:r>
    </w:p>
    <w:p w:rsidR="00591F16" w:rsidRDefault="00591F16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 w:rsidRPr="00591F16">
        <w:rPr>
          <w:b/>
          <w:sz w:val="32"/>
          <w:szCs w:val="32"/>
        </w:rPr>
        <w:t>Eje Responsabilidad Social</w:t>
      </w:r>
    </w:p>
    <w:p w:rsidR="00353C31" w:rsidRDefault="00B45C40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El eje Responsabilidad S</w:t>
      </w:r>
      <w:r w:rsidR="00B20B1D">
        <w:rPr>
          <w:sz w:val="32"/>
          <w:szCs w:val="32"/>
        </w:rPr>
        <w:t>ocial</w:t>
      </w:r>
      <w:r w:rsidR="0049273C">
        <w:rPr>
          <w:sz w:val="32"/>
          <w:szCs w:val="32"/>
        </w:rPr>
        <w:t xml:space="preserve"> </w:t>
      </w:r>
      <w:r w:rsidR="00C909BA">
        <w:rPr>
          <w:sz w:val="32"/>
          <w:szCs w:val="32"/>
        </w:rPr>
        <w:t xml:space="preserve">basa su estrategia en la resolución y prevención de </w:t>
      </w:r>
      <w:r w:rsidR="00E74C50">
        <w:rPr>
          <w:sz w:val="32"/>
          <w:szCs w:val="32"/>
        </w:rPr>
        <w:t xml:space="preserve">conflictos sociales relacionados con la actividad minera, </w:t>
      </w:r>
      <w:r w:rsidR="00C909BA">
        <w:rPr>
          <w:sz w:val="32"/>
          <w:szCs w:val="32"/>
        </w:rPr>
        <w:t>el fomento a</w:t>
      </w:r>
      <w:r w:rsidR="00E74C50">
        <w:rPr>
          <w:sz w:val="32"/>
          <w:szCs w:val="32"/>
        </w:rPr>
        <w:t>l desarrollo humano</w:t>
      </w:r>
      <w:r w:rsidR="00C909BA">
        <w:rPr>
          <w:sz w:val="32"/>
          <w:szCs w:val="32"/>
        </w:rPr>
        <w:t>, la garantía de la tenencia de la tierra y los derechos de los concesionarios y el fomento al desarrollo económico.</w:t>
      </w:r>
    </w:p>
    <w:p w:rsidR="00E74C50" w:rsidRDefault="00051FD4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primer campo de la responsabilidad social es la resolución de conflictos y su prevención. Para la realización de esta estrategia se </w:t>
      </w:r>
      <w:r w:rsidR="0097691C">
        <w:rPr>
          <w:sz w:val="32"/>
          <w:szCs w:val="32"/>
        </w:rPr>
        <w:t>planteó</w:t>
      </w:r>
      <w:r w:rsidR="00080728">
        <w:rPr>
          <w:sz w:val="32"/>
          <w:szCs w:val="32"/>
        </w:rPr>
        <w:t xml:space="preserve"> la capacitación de las comunidades sobre el marco jurídico, la industria minera y el medio ambiente.</w:t>
      </w:r>
    </w:p>
    <w:p w:rsidR="00080728" w:rsidRDefault="0008072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En la agenda tem</w:t>
      </w:r>
      <w:r w:rsidR="00D06412">
        <w:rPr>
          <w:sz w:val="32"/>
          <w:szCs w:val="32"/>
        </w:rPr>
        <w:t xml:space="preserve">ática de la Comisión se propuso </w:t>
      </w:r>
      <w:r>
        <w:rPr>
          <w:sz w:val="32"/>
          <w:szCs w:val="32"/>
        </w:rPr>
        <w:t>un diálogo permanente con las organizaciones no gubernamentales para rescatar la experiencia de la observación de situaciones sociales y evitar acciones de confrontación.</w:t>
      </w:r>
    </w:p>
    <w:p w:rsidR="00080728" w:rsidRPr="00F62034" w:rsidRDefault="0008072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 forma paralela se </w:t>
      </w:r>
      <w:r w:rsidR="0097691C">
        <w:rPr>
          <w:sz w:val="32"/>
          <w:szCs w:val="32"/>
        </w:rPr>
        <w:t>sugirió</w:t>
      </w:r>
      <w:r w:rsidR="00B20B1D">
        <w:rPr>
          <w:sz w:val="32"/>
          <w:szCs w:val="32"/>
        </w:rPr>
        <w:t xml:space="preserve"> </w:t>
      </w:r>
      <w:r w:rsidR="00E926D9">
        <w:rPr>
          <w:sz w:val="32"/>
          <w:szCs w:val="32"/>
        </w:rPr>
        <w:t xml:space="preserve">fomentar la participación de las comunidades de zonas mineras en su inserción en los procesos de producción minera, respetando las diferentes formas de </w:t>
      </w:r>
      <w:r w:rsidR="00DF4AF0">
        <w:rPr>
          <w:sz w:val="32"/>
          <w:szCs w:val="32"/>
        </w:rPr>
        <w:t>propiedad y asociación, como son la pequeña propiedad, la comunal y el cooperativismo ejidal.</w:t>
      </w:r>
    </w:p>
    <w:p w:rsidR="00DF4AF0" w:rsidRDefault="00DF4AF0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estrategia de fomento al desarrollo humano debe hacer énfasis en </w:t>
      </w:r>
      <w:r w:rsidR="00863C4B">
        <w:rPr>
          <w:sz w:val="32"/>
          <w:szCs w:val="32"/>
        </w:rPr>
        <w:t>el mejoramiento de la calidad de vida de las personas, la salud, la educación, la generación de empleos bien remunerados, el fortalecimiento de una cultura laboral y la promoción de esquemas para el retiro.</w:t>
      </w:r>
    </w:p>
    <w:p w:rsidR="00DF4AF0" w:rsidRDefault="00863C4B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estrategia relativa a la tenencia de la tierra debe subrayar </w:t>
      </w:r>
      <w:r w:rsidR="00276B29">
        <w:rPr>
          <w:sz w:val="32"/>
          <w:szCs w:val="32"/>
        </w:rPr>
        <w:t xml:space="preserve">la regularización de la propiedad y la capacitación legal de los concesionarios para clarificar que </w:t>
      </w:r>
      <w:r w:rsidR="008C048B">
        <w:rPr>
          <w:sz w:val="32"/>
          <w:szCs w:val="32"/>
        </w:rPr>
        <w:t xml:space="preserve">el uso </w:t>
      </w:r>
      <w:r w:rsidR="00276B29">
        <w:rPr>
          <w:sz w:val="32"/>
          <w:szCs w:val="32"/>
        </w:rPr>
        <w:t>no implica</w:t>
      </w:r>
      <w:r w:rsidR="00BC6CF5">
        <w:rPr>
          <w:sz w:val="32"/>
          <w:szCs w:val="32"/>
        </w:rPr>
        <w:t xml:space="preserve"> </w:t>
      </w:r>
      <w:r w:rsidR="00276B29">
        <w:rPr>
          <w:sz w:val="32"/>
          <w:szCs w:val="32"/>
        </w:rPr>
        <w:t>la posesión de la tierra, sino solo el permiso de extracción de los minerales.</w:t>
      </w:r>
    </w:p>
    <w:p w:rsidR="00255ACF" w:rsidRDefault="00255ACF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agenda de la Comisión </w:t>
      </w:r>
      <w:r w:rsidR="00CA2F81">
        <w:rPr>
          <w:sz w:val="32"/>
          <w:szCs w:val="32"/>
        </w:rPr>
        <w:t xml:space="preserve">recomendó </w:t>
      </w:r>
      <w:r>
        <w:rPr>
          <w:sz w:val="32"/>
          <w:szCs w:val="32"/>
        </w:rPr>
        <w:t>impulsar el desarrollo económico, la economía social y la economía regional, aunado al fomento de la minería. Esto incluye el fomento de empresas mineras sociales, como son las cooperativas y las sociedades de producción rural.</w:t>
      </w:r>
    </w:p>
    <w:p w:rsidR="00F62034" w:rsidRDefault="00F62034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 w:rsidRPr="00F62034">
        <w:rPr>
          <w:b/>
          <w:sz w:val="32"/>
          <w:szCs w:val="32"/>
        </w:rPr>
        <w:t>Eje Inversión y Banca de Desarrollo</w:t>
      </w:r>
    </w:p>
    <w:p w:rsidR="00D9713E" w:rsidRDefault="00D9713E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</w:t>
      </w:r>
      <w:r w:rsidR="00A53790">
        <w:rPr>
          <w:sz w:val="32"/>
          <w:szCs w:val="32"/>
        </w:rPr>
        <w:t xml:space="preserve">el </w:t>
      </w:r>
      <w:r>
        <w:rPr>
          <w:sz w:val="32"/>
          <w:szCs w:val="32"/>
        </w:rPr>
        <w:t xml:space="preserve">eje </w:t>
      </w:r>
      <w:r w:rsidR="00A53790">
        <w:rPr>
          <w:sz w:val="32"/>
          <w:szCs w:val="32"/>
        </w:rPr>
        <w:t xml:space="preserve">de Inversión y Banca de Desarrollo </w:t>
      </w:r>
      <w:r w:rsidR="00A179F7">
        <w:rPr>
          <w:sz w:val="32"/>
          <w:szCs w:val="32"/>
        </w:rPr>
        <w:t>se indicó</w:t>
      </w:r>
      <w:r w:rsidR="00ED5A25" w:rsidRPr="00ED5A25">
        <w:rPr>
          <w:sz w:val="32"/>
          <w:szCs w:val="32"/>
        </w:rPr>
        <w:t xml:space="preserve"> trabajar </w:t>
      </w:r>
      <w:r w:rsidR="00A53790">
        <w:rPr>
          <w:sz w:val="32"/>
          <w:szCs w:val="32"/>
        </w:rPr>
        <w:t xml:space="preserve">sobre </w:t>
      </w:r>
      <w:r w:rsidR="00ED5A25" w:rsidRPr="00ED5A25">
        <w:rPr>
          <w:sz w:val="32"/>
          <w:szCs w:val="32"/>
        </w:rPr>
        <w:t xml:space="preserve">cuatro </w:t>
      </w:r>
      <w:r w:rsidR="00255ACF">
        <w:rPr>
          <w:sz w:val="32"/>
          <w:szCs w:val="32"/>
        </w:rPr>
        <w:t>estrategias: e</w:t>
      </w:r>
      <w:r w:rsidR="00ED5A25" w:rsidRPr="00ED5A25">
        <w:rPr>
          <w:sz w:val="32"/>
          <w:szCs w:val="32"/>
        </w:rPr>
        <w:t xml:space="preserve">stímulos a la </w:t>
      </w:r>
      <w:r w:rsidR="00255ACF">
        <w:rPr>
          <w:sz w:val="32"/>
          <w:szCs w:val="32"/>
        </w:rPr>
        <w:t>i</w:t>
      </w:r>
      <w:r w:rsidR="00ED5A25" w:rsidRPr="00ED5A25">
        <w:rPr>
          <w:sz w:val="32"/>
          <w:szCs w:val="32"/>
        </w:rPr>
        <w:t xml:space="preserve">nversión en </w:t>
      </w:r>
      <w:r w:rsidR="00255ACF">
        <w:rPr>
          <w:sz w:val="32"/>
          <w:szCs w:val="32"/>
        </w:rPr>
        <w:t>e</w:t>
      </w:r>
      <w:r w:rsidR="00ED5A25" w:rsidRPr="00ED5A25">
        <w:rPr>
          <w:sz w:val="32"/>
          <w:szCs w:val="32"/>
        </w:rPr>
        <w:t xml:space="preserve">xploración, </w:t>
      </w:r>
      <w:r w:rsidR="00255ACF">
        <w:rPr>
          <w:sz w:val="32"/>
          <w:szCs w:val="32"/>
        </w:rPr>
        <w:t>f</w:t>
      </w:r>
      <w:r w:rsidR="00ED5A25" w:rsidRPr="00ED5A25">
        <w:rPr>
          <w:sz w:val="32"/>
          <w:szCs w:val="32"/>
        </w:rPr>
        <w:t xml:space="preserve">inanciamiento, </w:t>
      </w:r>
      <w:r w:rsidR="00255ACF">
        <w:rPr>
          <w:sz w:val="32"/>
          <w:szCs w:val="32"/>
        </w:rPr>
        <w:t>e</w:t>
      </w:r>
      <w:r w:rsidR="00ED5A25" w:rsidRPr="00ED5A25">
        <w:rPr>
          <w:sz w:val="32"/>
          <w:szCs w:val="32"/>
        </w:rPr>
        <w:t xml:space="preserve">xperiencias </w:t>
      </w:r>
      <w:r w:rsidR="00255ACF">
        <w:rPr>
          <w:sz w:val="32"/>
          <w:szCs w:val="32"/>
        </w:rPr>
        <w:t>e</w:t>
      </w:r>
      <w:r w:rsidR="00ED5A25" w:rsidRPr="00ED5A25">
        <w:rPr>
          <w:sz w:val="32"/>
          <w:szCs w:val="32"/>
        </w:rPr>
        <w:t xml:space="preserve">xitosas y </w:t>
      </w:r>
      <w:r w:rsidR="00255ACF">
        <w:rPr>
          <w:sz w:val="32"/>
          <w:szCs w:val="32"/>
        </w:rPr>
        <w:t>F</w:t>
      </w:r>
      <w:r w:rsidR="00ED5A25" w:rsidRPr="00ED5A25">
        <w:rPr>
          <w:sz w:val="32"/>
          <w:szCs w:val="32"/>
        </w:rPr>
        <w:t>ideicomiso de Fomento Minero</w:t>
      </w:r>
      <w:r w:rsidR="00255ACF">
        <w:rPr>
          <w:sz w:val="32"/>
          <w:szCs w:val="32"/>
        </w:rPr>
        <w:t xml:space="preserve"> (FIFOMI)</w:t>
      </w:r>
      <w:r w:rsidR="00ED5A25" w:rsidRPr="00ED5A25">
        <w:rPr>
          <w:sz w:val="32"/>
          <w:szCs w:val="32"/>
        </w:rPr>
        <w:t>.</w:t>
      </w:r>
    </w:p>
    <w:p w:rsidR="007F22D1" w:rsidRDefault="00255ACF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Respecto a los estímulos a la inversión en exploración</w:t>
      </w:r>
      <w:r w:rsidR="000F76F5">
        <w:rPr>
          <w:sz w:val="32"/>
          <w:szCs w:val="32"/>
        </w:rPr>
        <w:t xml:space="preserve">, </w:t>
      </w:r>
      <w:r w:rsidR="00B87E57">
        <w:rPr>
          <w:sz w:val="32"/>
          <w:szCs w:val="32"/>
        </w:rPr>
        <w:t>la agenda de la Comisión destacó</w:t>
      </w:r>
      <w:r w:rsidR="000F76F5">
        <w:rPr>
          <w:sz w:val="32"/>
          <w:szCs w:val="32"/>
        </w:rPr>
        <w:t xml:space="preserve"> el enfoque en la pequeña minería.</w:t>
      </w:r>
    </w:p>
    <w:p w:rsidR="00255ACF" w:rsidRDefault="0058050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Para </w:t>
      </w:r>
      <w:r w:rsidR="00B87E57">
        <w:rPr>
          <w:sz w:val="32"/>
          <w:szCs w:val="32"/>
        </w:rPr>
        <w:t>avanzar en este campo se sugirió</w:t>
      </w:r>
      <w:r>
        <w:rPr>
          <w:sz w:val="32"/>
          <w:szCs w:val="32"/>
        </w:rPr>
        <w:t xml:space="preserve"> que regresen a los estados los pagos de refrendo de concesiones en especie, financiamiento, fondo emprendedor, direcciones o consejos estatales de minería y clúster minero.</w:t>
      </w:r>
    </w:p>
    <w:p w:rsidR="007F22D1" w:rsidRDefault="007F22D1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ED5A25">
        <w:rPr>
          <w:sz w:val="32"/>
          <w:szCs w:val="32"/>
        </w:rPr>
        <w:t xml:space="preserve">Zacatecas </w:t>
      </w:r>
      <w:r w:rsidR="001A5113">
        <w:rPr>
          <w:sz w:val="32"/>
          <w:szCs w:val="32"/>
        </w:rPr>
        <w:t xml:space="preserve">ya </w:t>
      </w:r>
      <w:r w:rsidRPr="00ED5A25">
        <w:rPr>
          <w:sz w:val="32"/>
          <w:szCs w:val="32"/>
        </w:rPr>
        <w:t>tiene el primer Clúster Minero del país, listo para extenderse y fortalecer el desarrollo regional, reduciendo esfuerzos dispersos y focalizánd</w:t>
      </w:r>
      <w:r>
        <w:rPr>
          <w:sz w:val="32"/>
          <w:szCs w:val="32"/>
        </w:rPr>
        <w:t>olos hacia una misma dirección.</w:t>
      </w:r>
    </w:p>
    <w:p w:rsidR="0058050A" w:rsidRDefault="0058050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Sobre el financiamiento</w:t>
      </w:r>
      <w:r w:rsidR="005E2EE3">
        <w:rPr>
          <w:sz w:val="32"/>
          <w:szCs w:val="32"/>
        </w:rPr>
        <w:t xml:space="preserve"> se propone enfatizar el fomento y atracción del mecanismo de banca de primer piso, del capital de riesgo y de la banca de desarrollo.</w:t>
      </w:r>
    </w:p>
    <w:p w:rsidR="00F62034" w:rsidRDefault="00F326F0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Acerca de la estrategia Inversión Extranjera Directa</w:t>
      </w:r>
      <w:r w:rsidR="00540418">
        <w:rPr>
          <w:sz w:val="32"/>
          <w:szCs w:val="32"/>
        </w:rPr>
        <w:t xml:space="preserve"> (IED)</w:t>
      </w:r>
      <w:r w:rsidR="000A0A11">
        <w:rPr>
          <w:sz w:val="32"/>
          <w:szCs w:val="32"/>
        </w:rPr>
        <w:t xml:space="preserve">, se planteó </w:t>
      </w:r>
      <w:r w:rsidR="00ED5A25" w:rsidRPr="00ED5A25">
        <w:rPr>
          <w:sz w:val="32"/>
          <w:szCs w:val="32"/>
        </w:rPr>
        <w:t xml:space="preserve">generar un manual </w:t>
      </w:r>
      <w:r w:rsidR="00540418">
        <w:rPr>
          <w:sz w:val="32"/>
          <w:szCs w:val="32"/>
        </w:rPr>
        <w:t xml:space="preserve">relacionado con el campo de la </w:t>
      </w:r>
      <w:r>
        <w:rPr>
          <w:sz w:val="32"/>
          <w:szCs w:val="32"/>
        </w:rPr>
        <w:t>m</w:t>
      </w:r>
      <w:r w:rsidR="00ED5A25" w:rsidRPr="00ED5A25">
        <w:rPr>
          <w:sz w:val="32"/>
          <w:szCs w:val="32"/>
        </w:rPr>
        <w:t>inería, que incluya aspectos como diagramas de flujo de trámites, requisitos y tiempos</w:t>
      </w:r>
      <w:r w:rsidR="008A42D9">
        <w:rPr>
          <w:sz w:val="32"/>
          <w:szCs w:val="32"/>
        </w:rPr>
        <w:t>.</w:t>
      </w:r>
      <w:r w:rsidR="000A0A11">
        <w:rPr>
          <w:sz w:val="32"/>
          <w:szCs w:val="32"/>
        </w:rPr>
        <w:t xml:space="preserve"> </w:t>
      </w:r>
      <w:r w:rsidR="008A42D9">
        <w:rPr>
          <w:sz w:val="32"/>
          <w:szCs w:val="32"/>
        </w:rPr>
        <w:t xml:space="preserve">El manual también debe tener </w:t>
      </w:r>
      <w:r w:rsidR="00ED5A25" w:rsidRPr="00ED5A25">
        <w:rPr>
          <w:sz w:val="32"/>
          <w:szCs w:val="32"/>
        </w:rPr>
        <w:t xml:space="preserve">un perfil de la </w:t>
      </w:r>
      <w:r w:rsidR="008A42D9">
        <w:rPr>
          <w:sz w:val="32"/>
          <w:szCs w:val="32"/>
        </w:rPr>
        <w:t xml:space="preserve">industria </w:t>
      </w:r>
      <w:r w:rsidR="00ED5A25" w:rsidRPr="00ED5A25">
        <w:rPr>
          <w:sz w:val="32"/>
          <w:szCs w:val="32"/>
        </w:rPr>
        <w:t>nacional por tipo de mineral y zona, así como un listado de concesiones no explotadas</w:t>
      </w:r>
      <w:r>
        <w:rPr>
          <w:sz w:val="32"/>
          <w:szCs w:val="32"/>
        </w:rPr>
        <w:t xml:space="preserve">, </w:t>
      </w:r>
      <w:r w:rsidR="00ED5A25" w:rsidRPr="00ED5A25">
        <w:rPr>
          <w:sz w:val="32"/>
          <w:szCs w:val="32"/>
        </w:rPr>
        <w:t xml:space="preserve">que </w:t>
      </w:r>
      <w:r w:rsidR="008A42D9">
        <w:rPr>
          <w:sz w:val="32"/>
          <w:szCs w:val="32"/>
        </w:rPr>
        <w:t>facilite la promoción.</w:t>
      </w:r>
    </w:p>
    <w:p w:rsidR="00F326F0" w:rsidRDefault="00AF2767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Se planteó</w:t>
      </w:r>
      <w:r w:rsidR="00F326F0">
        <w:rPr>
          <w:sz w:val="32"/>
          <w:szCs w:val="32"/>
        </w:rPr>
        <w:t xml:space="preserve"> la necesidad de crear un foro internacional de la minería que sirva de punto de encuentro </w:t>
      </w:r>
      <w:r w:rsidR="00540418">
        <w:rPr>
          <w:sz w:val="32"/>
          <w:szCs w:val="32"/>
        </w:rPr>
        <w:t>para proveedores, concesionarios e instituciones financieras.</w:t>
      </w:r>
    </w:p>
    <w:p w:rsidR="00540418" w:rsidRDefault="0054041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agenda de la </w:t>
      </w:r>
      <w:r w:rsidR="00AF2767">
        <w:rPr>
          <w:sz w:val="32"/>
          <w:szCs w:val="32"/>
        </w:rPr>
        <w:t>Comisión incluyó</w:t>
      </w:r>
      <w:r>
        <w:rPr>
          <w:sz w:val="32"/>
          <w:szCs w:val="32"/>
        </w:rPr>
        <w:t xml:space="preserve"> una estrategia de atención a las e</w:t>
      </w:r>
      <w:r w:rsidR="00AF2767">
        <w:rPr>
          <w:sz w:val="32"/>
          <w:szCs w:val="32"/>
        </w:rPr>
        <w:t>xperiencias exitosas que advierte</w:t>
      </w:r>
      <w:r>
        <w:rPr>
          <w:sz w:val="32"/>
          <w:szCs w:val="32"/>
        </w:rPr>
        <w:t xml:space="preserve"> compartir los modelos que aplican los estados para atraer inversión e incentivar la actividad minera.</w:t>
      </w:r>
    </w:p>
    <w:p w:rsidR="00540418" w:rsidRDefault="0054041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última estrategia del eje </w:t>
      </w:r>
      <w:r w:rsidR="002508C3">
        <w:rPr>
          <w:sz w:val="32"/>
          <w:szCs w:val="32"/>
        </w:rPr>
        <w:t xml:space="preserve">Inversión y Banca de Desarrollo </w:t>
      </w:r>
      <w:r>
        <w:rPr>
          <w:sz w:val="32"/>
          <w:szCs w:val="32"/>
        </w:rPr>
        <w:t>es la refer</w:t>
      </w:r>
      <w:r w:rsidR="002508C3">
        <w:rPr>
          <w:sz w:val="32"/>
          <w:szCs w:val="32"/>
        </w:rPr>
        <w:t>e</w:t>
      </w:r>
      <w:r>
        <w:rPr>
          <w:sz w:val="32"/>
          <w:szCs w:val="32"/>
        </w:rPr>
        <w:t xml:space="preserve">nte al </w:t>
      </w:r>
      <w:r w:rsidR="002508C3">
        <w:rPr>
          <w:sz w:val="32"/>
          <w:szCs w:val="32"/>
        </w:rPr>
        <w:t xml:space="preserve">Fideicomiso de Fomento Minero. </w:t>
      </w:r>
      <w:r w:rsidR="0017584C">
        <w:rPr>
          <w:sz w:val="32"/>
          <w:szCs w:val="32"/>
        </w:rPr>
        <w:t>Se propuso</w:t>
      </w:r>
      <w:r w:rsidR="00CF1676">
        <w:rPr>
          <w:sz w:val="32"/>
          <w:szCs w:val="32"/>
        </w:rPr>
        <w:t xml:space="preserve"> la revisión de las reglas de operación para financiamiento a la exploración y explotación en el sector minero.</w:t>
      </w:r>
    </w:p>
    <w:p w:rsidR="00591F16" w:rsidRDefault="00ED5A25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 w:rsidRPr="00ED5A25">
        <w:rPr>
          <w:b/>
          <w:sz w:val="32"/>
          <w:szCs w:val="32"/>
        </w:rPr>
        <w:t>Eje Innovación de Procesos y Desarrollo Tecnológico</w:t>
      </w:r>
    </w:p>
    <w:p w:rsidR="00811232" w:rsidRDefault="00CF1676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907431">
        <w:rPr>
          <w:sz w:val="32"/>
          <w:szCs w:val="32"/>
        </w:rPr>
        <w:t>l eje Innovación de Procesos y Desarrollo Tecnológico</w:t>
      </w:r>
      <w:r w:rsidR="00ED5A25" w:rsidRPr="00ED5A25">
        <w:rPr>
          <w:sz w:val="32"/>
          <w:szCs w:val="32"/>
        </w:rPr>
        <w:t xml:space="preserve"> </w:t>
      </w:r>
      <w:r>
        <w:rPr>
          <w:sz w:val="32"/>
          <w:szCs w:val="32"/>
        </w:rPr>
        <w:t>se basa en las estrategias de</w:t>
      </w:r>
      <w:r w:rsidR="0017584C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="00ED5A25" w:rsidRPr="00ED5A25">
        <w:rPr>
          <w:sz w:val="32"/>
          <w:szCs w:val="32"/>
        </w:rPr>
        <w:t xml:space="preserve">esarrollo de </w:t>
      </w:r>
      <w:r>
        <w:rPr>
          <w:sz w:val="32"/>
          <w:szCs w:val="32"/>
        </w:rPr>
        <w:t>c</w:t>
      </w:r>
      <w:r w:rsidR="00ED5A25" w:rsidRPr="00ED5A25">
        <w:rPr>
          <w:sz w:val="32"/>
          <w:szCs w:val="32"/>
        </w:rPr>
        <w:t xml:space="preserve">apital </w:t>
      </w:r>
      <w:r>
        <w:rPr>
          <w:sz w:val="32"/>
          <w:szCs w:val="32"/>
        </w:rPr>
        <w:t>h</w:t>
      </w:r>
      <w:r w:rsidR="00ED5A25" w:rsidRPr="00ED5A25">
        <w:rPr>
          <w:sz w:val="32"/>
          <w:szCs w:val="32"/>
        </w:rPr>
        <w:t xml:space="preserve">umano, </w:t>
      </w:r>
      <w:r>
        <w:rPr>
          <w:sz w:val="32"/>
          <w:szCs w:val="32"/>
        </w:rPr>
        <w:t>d</w:t>
      </w:r>
      <w:r w:rsidR="00ED5A25" w:rsidRPr="00ED5A25">
        <w:rPr>
          <w:sz w:val="32"/>
          <w:szCs w:val="32"/>
        </w:rPr>
        <w:t xml:space="preserve">esarrollo de </w:t>
      </w:r>
      <w:r>
        <w:rPr>
          <w:sz w:val="32"/>
          <w:szCs w:val="32"/>
        </w:rPr>
        <w:t>p</w:t>
      </w:r>
      <w:r w:rsidR="00ED5A25" w:rsidRPr="00ED5A25">
        <w:rPr>
          <w:sz w:val="32"/>
          <w:szCs w:val="32"/>
        </w:rPr>
        <w:t xml:space="preserve">roveedores, </w:t>
      </w:r>
      <w:r>
        <w:rPr>
          <w:sz w:val="32"/>
          <w:szCs w:val="32"/>
        </w:rPr>
        <w:t>f</w:t>
      </w:r>
      <w:r w:rsidR="00ED5A25" w:rsidRPr="00ED5A25">
        <w:rPr>
          <w:sz w:val="32"/>
          <w:szCs w:val="32"/>
        </w:rPr>
        <w:t xml:space="preserve">omento de la </w:t>
      </w:r>
      <w:r>
        <w:rPr>
          <w:sz w:val="32"/>
          <w:szCs w:val="32"/>
        </w:rPr>
        <w:t>i</w:t>
      </w:r>
      <w:r w:rsidR="00ED5A25" w:rsidRPr="00ED5A25">
        <w:rPr>
          <w:sz w:val="32"/>
          <w:szCs w:val="32"/>
        </w:rPr>
        <w:t xml:space="preserve">nvestigación </w:t>
      </w:r>
      <w:r>
        <w:rPr>
          <w:sz w:val="32"/>
          <w:szCs w:val="32"/>
        </w:rPr>
        <w:t>m</w:t>
      </w:r>
      <w:r w:rsidR="00ED5A25" w:rsidRPr="00ED5A25">
        <w:rPr>
          <w:sz w:val="32"/>
          <w:szCs w:val="32"/>
        </w:rPr>
        <w:t xml:space="preserve">inera y </w:t>
      </w:r>
      <w:r>
        <w:rPr>
          <w:sz w:val="32"/>
          <w:szCs w:val="32"/>
        </w:rPr>
        <w:t>a</w:t>
      </w:r>
      <w:r w:rsidR="00ED5A25" w:rsidRPr="00ED5A25">
        <w:rPr>
          <w:sz w:val="32"/>
          <w:szCs w:val="32"/>
        </w:rPr>
        <w:t xml:space="preserve">mpliación del </w:t>
      </w:r>
      <w:r>
        <w:rPr>
          <w:sz w:val="32"/>
          <w:szCs w:val="32"/>
        </w:rPr>
        <w:t>a</w:t>
      </w:r>
      <w:r w:rsidR="00ED5A25" w:rsidRPr="00ED5A25">
        <w:rPr>
          <w:sz w:val="32"/>
          <w:szCs w:val="32"/>
        </w:rPr>
        <w:t xml:space="preserve">lcance de las </w:t>
      </w:r>
      <w:r>
        <w:rPr>
          <w:sz w:val="32"/>
          <w:szCs w:val="32"/>
        </w:rPr>
        <w:t>a</w:t>
      </w:r>
      <w:r w:rsidR="00ED5A25" w:rsidRPr="00ED5A25">
        <w:rPr>
          <w:sz w:val="32"/>
          <w:szCs w:val="32"/>
        </w:rPr>
        <w:t xml:space="preserve">ctividades del </w:t>
      </w:r>
      <w:r>
        <w:rPr>
          <w:sz w:val="32"/>
          <w:szCs w:val="32"/>
        </w:rPr>
        <w:t>S</w:t>
      </w:r>
      <w:r w:rsidR="00ED5A25" w:rsidRPr="00ED5A25">
        <w:rPr>
          <w:sz w:val="32"/>
          <w:szCs w:val="32"/>
        </w:rPr>
        <w:t>ervicio Geológico Mexicano.</w:t>
      </w:r>
    </w:p>
    <w:p w:rsidR="00CF1676" w:rsidRDefault="00CF1676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estrategia de desarrollo de capital humano fundamenta su acción en la capacitación y profesionalización, con el fin de fomentar empleos formales y un mejor desempeño laboral.</w:t>
      </w:r>
    </w:p>
    <w:p w:rsidR="00CF1676" w:rsidRDefault="00CF1676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desarrollo de proveedores es otra estrategia propuesta en la agenda temática de la Comisión. Tiene el objetivo de fomentar la proveeduría local </w:t>
      </w:r>
      <w:r w:rsidR="007F22D1">
        <w:rPr>
          <w:sz w:val="32"/>
          <w:szCs w:val="32"/>
        </w:rPr>
        <w:t>con capacidad tecnológica.</w:t>
      </w:r>
    </w:p>
    <w:p w:rsidR="007F22D1" w:rsidRDefault="00FE3E1E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agenda también contempla la </w:t>
      </w:r>
      <w:r w:rsidR="007F22D1">
        <w:rPr>
          <w:sz w:val="32"/>
          <w:szCs w:val="32"/>
        </w:rPr>
        <w:t>estrategia de fomento a la creación de centros de investigación minera que se ocupen de hacer más eficientes los procesos de la industria.</w:t>
      </w:r>
    </w:p>
    <w:p w:rsidR="007F22D1" w:rsidRDefault="007F22D1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última estrategia del eje Innovación de Procesos y Desarrollo Tecnológico plantea l</w:t>
      </w:r>
      <w:r w:rsidRPr="00ED5A25">
        <w:rPr>
          <w:sz w:val="32"/>
          <w:szCs w:val="32"/>
        </w:rPr>
        <w:t xml:space="preserve">a ampliación del alcance de las actividades del Servicio Geológico Mexicano, que </w:t>
      </w:r>
      <w:r>
        <w:rPr>
          <w:sz w:val="32"/>
          <w:szCs w:val="32"/>
        </w:rPr>
        <w:t xml:space="preserve">propicie </w:t>
      </w:r>
      <w:r w:rsidRPr="00ED5A25">
        <w:rPr>
          <w:sz w:val="32"/>
          <w:szCs w:val="32"/>
        </w:rPr>
        <w:t xml:space="preserve">la difusión de su información y </w:t>
      </w:r>
      <w:r>
        <w:rPr>
          <w:sz w:val="32"/>
          <w:szCs w:val="32"/>
        </w:rPr>
        <w:t xml:space="preserve">sus </w:t>
      </w:r>
      <w:r w:rsidRPr="00ED5A25">
        <w:rPr>
          <w:sz w:val="32"/>
          <w:szCs w:val="32"/>
        </w:rPr>
        <w:t xml:space="preserve">servicios técnicos </w:t>
      </w:r>
      <w:r>
        <w:rPr>
          <w:sz w:val="32"/>
          <w:szCs w:val="32"/>
        </w:rPr>
        <w:t>entre los pequeños mineros</w:t>
      </w:r>
      <w:r w:rsidRPr="00ED5A25">
        <w:rPr>
          <w:sz w:val="32"/>
          <w:szCs w:val="32"/>
        </w:rPr>
        <w:t>.</w:t>
      </w:r>
    </w:p>
    <w:p w:rsidR="00ED5A25" w:rsidRDefault="00ED5A25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 w:rsidRPr="00ED5A25">
        <w:rPr>
          <w:b/>
          <w:sz w:val="32"/>
          <w:szCs w:val="32"/>
        </w:rPr>
        <w:t>Eje Marco Legal</w:t>
      </w:r>
    </w:p>
    <w:p w:rsidR="009826A8" w:rsidRDefault="009826A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El eje Marco Legal traza seis estrategias</w:t>
      </w:r>
      <w:r w:rsidR="00C2153A">
        <w:rPr>
          <w:sz w:val="32"/>
          <w:szCs w:val="32"/>
        </w:rPr>
        <w:t xml:space="preserve"> relacionadas con la Ley Minera, la alineación normativa, la seguridad e higiene, los procedimientos para el otorgamiento de concesiones, las modificaciones respecto al ingreso que se queda en los estados y las legislaciones estatales.</w:t>
      </w:r>
    </w:p>
    <w:p w:rsidR="00C2153A" w:rsidRDefault="00C2153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Los temas planteados en este eje sirvieron de base para alentar la reforma a la Ley de Derechos, que llevó finalmente a la constitución del Fondo para el Desarrollo Regional Sustentable de Estados y Municipios Mineros.</w:t>
      </w:r>
    </w:p>
    <w:p w:rsidR="00811232" w:rsidRDefault="00ED5A25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ED5A25">
        <w:rPr>
          <w:sz w:val="32"/>
          <w:szCs w:val="32"/>
        </w:rPr>
        <w:t xml:space="preserve">En </w:t>
      </w:r>
      <w:r w:rsidR="00C2153A">
        <w:rPr>
          <w:sz w:val="32"/>
          <w:szCs w:val="32"/>
        </w:rPr>
        <w:t xml:space="preserve">ese contexto, fueron revisados los </w:t>
      </w:r>
      <w:r w:rsidRPr="00ED5A25">
        <w:rPr>
          <w:sz w:val="32"/>
          <w:szCs w:val="32"/>
        </w:rPr>
        <w:t xml:space="preserve">mecanismos que </w:t>
      </w:r>
      <w:r w:rsidR="00C2153A">
        <w:rPr>
          <w:sz w:val="32"/>
          <w:szCs w:val="32"/>
        </w:rPr>
        <w:t xml:space="preserve">abonan a </w:t>
      </w:r>
      <w:r w:rsidRPr="00ED5A25">
        <w:rPr>
          <w:sz w:val="32"/>
          <w:szCs w:val="32"/>
        </w:rPr>
        <w:t xml:space="preserve">una mayor justicia fiscal, de tal manera que los ingresos que por la minería obtiene la Federación se </w:t>
      </w:r>
      <w:r w:rsidR="00C2153A">
        <w:rPr>
          <w:sz w:val="32"/>
          <w:szCs w:val="32"/>
        </w:rPr>
        <w:t xml:space="preserve">vieran </w:t>
      </w:r>
      <w:r w:rsidRPr="00ED5A25">
        <w:rPr>
          <w:sz w:val="32"/>
          <w:szCs w:val="32"/>
        </w:rPr>
        <w:t>reflejados en más recursos para lo</w:t>
      </w:r>
      <w:r w:rsidR="00811232">
        <w:rPr>
          <w:sz w:val="32"/>
          <w:szCs w:val="32"/>
        </w:rPr>
        <w:t>s municipios y estados mineros.</w:t>
      </w:r>
    </w:p>
    <w:p w:rsidR="001A233F" w:rsidRDefault="00703B35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agenda de la Comisió</w:t>
      </w:r>
      <w:r w:rsidR="002438F4">
        <w:rPr>
          <w:sz w:val="32"/>
          <w:szCs w:val="32"/>
        </w:rPr>
        <w:t>n recomendó</w:t>
      </w:r>
      <w:r w:rsidR="00435597">
        <w:rPr>
          <w:sz w:val="32"/>
          <w:szCs w:val="32"/>
        </w:rPr>
        <w:t xml:space="preserve"> una estrategia de alineación normativa que tiene como objetivo promover que los estados elaboren su propia legislación en la materia.</w:t>
      </w:r>
    </w:p>
    <w:p w:rsidR="00435597" w:rsidRDefault="002438F4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También propuso</w:t>
      </w:r>
      <w:r w:rsidR="00435597">
        <w:rPr>
          <w:sz w:val="32"/>
          <w:szCs w:val="32"/>
        </w:rPr>
        <w:t xml:space="preserve"> una estrategia sobre seguridad e higiene </w:t>
      </w:r>
      <w:r w:rsidR="006D4E13">
        <w:rPr>
          <w:sz w:val="32"/>
          <w:szCs w:val="32"/>
        </w:rPr>
        <w:t>que plantea la garantía de condiciones laborales básicas para la explotación en fundos y minas a cielo abierto.</w:t>
      </w:r>
    </w:p>
    <w:p w:rsidR="006D4E13" w:rsidRDefault="00A54A9C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Otra </w:t>
      </w:r>
      <w:r w:rsidR="006D4E13">
        <w:rPr>
          <w:sz w:val="32"/>
          <w:szCs w:val="32"/>
        </w:rPr>
        <w:t xml:space="preserve">estrategia del eje Marco Legal </w:t>
      </w:r>
      <w:r w:rsidR="00DB3A62">
        <w:rPr>
          <w:sz w:val="32"/>
          <w:szCs w:val="32"/>
        </w:rPr>
        <w:t xml:space="preserve">señala la necesidad de revisar el procedimiento para el otorgamiento de concesiones, con el fin de </w:t>
      </w:r>
      <w:r>
        <w:rPr>
          <w:sz w:val="32"/>
          <w:szCs w:val="32"/>
        </w:rPr>
        <w:t>que ningún permiso contravenga los intereses municipales o particulares.</w:t>
      </w:r>
    </w:p>
    <w:p w:rsidR="00A54A9C" w:rsidRDefault="00A54A9C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estrategia de modificaciones respecto al ingreso que se queda en el estado sugiere que </w:t>
      </w:r>
      <w:r w:rsidR="00547779">
        <w:rPr>
          <w:sz w:val="32"/>
          <w:szCs w:val="32"/>
        </w:rPr>
        <w:t>la normatividad asegure a las entidades federativas ingresos por la extracción de minerales.</w:t>
      </w:r>
    </w:p>
    <w:p w:rsidR="001A233F" w:rsidRDefault="0054777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Por último, la agenda incluye la estrategia sobre legi</w:t>
      </w:r>
      <w:r w:rsidR="001716E9">
        <w:rPr>
          <w:sz w:val="32"/>
          <w:szCs w:val="32"/>
        </w:rPr>
        <w:t xml:space="preserve">slaciones estatales que propuso </w:t>
      </w:r>
      <w:r>
        <w:rPr>
          <w:sz w:val="32"/>
          <w:szCs w:val="32"/>
        </w:rPr>
        <w:t xml:space="preserve">la creación de un catálogo sobre la materia y la </w:t>
      </w:r>
      <w:r w:rsidR="00513332">
        <w:rPr>
          <w:sz w:val="32"/>
          <w:szCs w:val="32"/>
        </w:rPr>
        <w:t xml:space="preserve">elaboración </w:t>
      </w:r>
      <w:r>
        <w:rPr>
          <w:sz w:val="32"/>
          <w:szCs w:val="32"/>
        </w:rPr>
        <w:t xml:space="preserve">de normas </w:t>
      </w:r>
      <w:r w:rsidR="005E0F98">
        <w:rPr>
          <w:sz w:val="32"/>
          <w:szCs w:val="32"/>
        </w:rPr>
        <w:t xml:space="preserve">relativas a las sustancias reservadas </w:t>
      </w:r>
      <w:r w:rsidR="00BA6269">
        <w:rPr>
          <w:sz w:val="32"/>
          <w:szCs w:val="32"/>
        </w:rPr>
        <w:t xml:space="preserve">y no reservadas </w:t>
      </w:r>
      <w:r w:rsidR="001E41F1">
        <w:rPr>
          <w:sz w:val="32"/>
          <w:szCs w:val="32"/>
        </w:rPr>
        <w:t>a la Federación.</w:t>
      </w:r>
    </w:p>
    <w:p w:rsidR="00811232" w:rsidRPr="00092066" w:rsidRDefault="00811232" w:rsidP="00FE4BAB">
      <w:pPr>
        <w:keepNext/>
        <w:keepLines/>
        <w:spacing w:line="360" w:lineRule="auto"/>
        <w:jc w:val="both"/>
        <w:rPr>
          <w:b/>
          <w:sz w:val="32"/>
          <w:szCs w:val="32"/>
        </w:rPr>
      </w:pPr>
      <w:r w:rsidRPr="00092066">
        <w:rPr>
          <w:b/>
          <w:sz w:val="32"/>
          <w:szCs w:val="32"/>
        </w:rPr>
        <w:t xml:space="preserve">La </w:t>
      </w:r>
      <w:r w:rsidR="000A7EB6">
        <w:rPr>
          <w:b/>
          <w:sz w:val="32"/>
          <w:szCs w:val="32"/>
        </w:rPr>
        <w:t>m</w:t>
      </w:r>
      <w:r w:rsidRPr="00092066">
        <w:rPr>
          <w:b/>
          <w:sz w:val="32"/>
          <w:szCs w:val="32"/>
        </w:rPr>
        <w:t>inería en México</w:t>
      </w:r>
    </w:p>
    <w:p w:rsidR="00B17137" w:rsidRDefault="00761C5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761C59">
        <w:rPr>
          <w:sz w:val="32"/>
          <w:szCs w:val="32"/>
        </w:rPr>
        <w:t>La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minería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tiene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presencia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en</w:t>
      </w:r>
      <w:r w:rsidR="009261EA">
        <w:rPr>
          <w:sz w:val="32"/>
          <w:szCs w:val="32"/>
        </w:rPr>
        <w:t xml:space="preserve"> </w:t>
      </w:r>
      <w:r w:rsidR="00811232">
        <w:rPr>
          <w:sz w:val="32"/>
          <w:szCs w:val="32"/>
        </w:rPr>
        <w:t>25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de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las</w:t>
      </w:r>
      <w:r w:rsidR="009261EA">
        <w:rPr>
          <w:sz w:val="32"/>
          <w:szCs w:val="32"/>
        </w:rPr>
        <w:t xml:space="preserve"> </w:t>
      </w:r>
      <w:r w:rsidRPr="00761C59">
        <w:rPr>
          <w:sz w:val="32"/>
          <w:szCs w:val="32"/>
        </w:rPr>
        <w:t>32</w:t>
      </w:r>
      <w:r w:rsidR="009261EA">
        <w:rPr>
          <w:sz w:val="32"/>
          <w:szCs w:val="32"/>
        </w:rPr>
        <w:t xml:space="preserve"> </w:t>
      </w:r>
      <w:r w:rsidR="004D40B8">
        <w:rPr>
          <w:sz w:val="32"/>
          <w:szCs w:val="32"/>
        </w:rPr>
        <w:t>entidades del país, tanto en sus ramas metálica como no metálica.</w:t>
      </w:r>
    </w:p>
    <w:p w:rsidR="004D40B8" w:rsidRDefault="000A7EB6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Aunque generalmente se piensa que los estados mineros son básicamente Zacatecas, Sonora, San Luis Potosí, Durango, Chihuahua y Guerrero, hay otras entidades que registran actividad extractiva, como Yucatán y Tamaulipas, a los que generalmente no se les había considerado.</w:t>
      </w:r>
    </w:p>
    <w:p w:rsidR="00223A4E" w:rsidRDefault="004D40B8" w:rsidP="009261EA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minería e</w:t>
      </w:r>
      <w:r w:rsidR="0088483D">
        <w:rPr>
          <w:sz w:val="32"/>
          <w:szCs w:val="32"/>
        </w:rPr>
        <w:t>s una de las actividades industriales estratégicas para el desarrollo de la nación</w:t>
      </w:r>
      <w:r w:rsidR="00223A4E">
        <w:rPr>
          <w:sz w:val="32"/>
          <w:szCs w:val="32"/>
        </w:rPr>
        <w:t xml:space="preserve"> porque</w:t>
      </w:r>
      <w:r w:rsidR="0088483D">
        <w:rPr>
          <w:sz w:val="32"/>
          <w:szCs w:val="32"/>
        </w:rPr>
        <w:t xml:space="preserve"> genera importantes montos de inversión que estimula</w:t>
      </w:r>
      <w:r w:rsidR="00223A4E">
        <w:rPr>
          <w:sz w:val="32"/>
          <w:szCs w:val="32"/>
        </w:rPr>
        <w:t>n</w:t>
      </w:r>
      <w:r w:rsidR="00817373">
        <w:rPr>
          <w:sz w:val="32"/>
          <w:szCs w:val="32"/>
        </w:rPr>
        <w:t xml:space="preserve"> la creación de empleos, derrama económica y</w:t>
      </w:r>
      <w:r w:rsidR="0088483D">
        <w:rPr>
          <w:sz w:val="32"/>
          <w:szCs w:val="32"/>
        </w:rPr>
        <w:t xml:space="preserve"> desarrollo de</w:t>
      </w:r>
      <w:r w:rsidR="000E75E9">
        <w:rPr>
          <w:sz w:val="32"/>
          <w:szCs w:val="32"/>
        </w:rPr>
        <w:t xml:space="preserve"> municipios</w:t>
      </w:r>
      <w:r w:rsidR="0088483D">
        <w:rPr>
          <w:sz w:val="32"/>
          <w:szCs w:val="32"/>
        </w:rPr>
        <w:t xml:space="preserve"> y regiones.</w:t>
      </w:r>
    </w:p>
    <w:p w:rsidR="00B17137" w:rsidRDefault="00B17137" w:rsidP="009261EA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115A41">
        <w:rPr>
          <w:sz w:val="32"/>
          <w:szCs w:val="32"/>
        </w:rPr>
        <w:t xml:space="preserve">Según datos de la Cámara Minera de México, </w:t>
      </w:r>
      <w:r>
        <w:rPr>
          <w:sz w:val="32"/>
          <w:szCs w:val="32"/>
        </w:rPr>
        <w:t xml:space="preserve">esta actividad </w:t>
      </w:r>
      <w:r w:rsidRPr="00115A41">
        <w:rPr>
          <w:sz w:val="32"/>
          <w:szCs w:val="32"/>
        </w:rPr>
        <w:t xml:space="preserve">es, junto con la agricultura, la industria </w:t>
      </w:r>
      <w:r>
        <w:rPr>
          <w:sz w:val="32"/>
          <w:szCs w:val="32"/>
        </w:rPr>
        <w:t xml:space="preserve">que tiene </w:t>
      </w:r>
      <w:r w:rsidR="00903D4C">
        <w:rPr>
          <w:sz w:val="32"/>
          <w:szCs w:val="32"/>
        </w:rPr>
        <w:t xml:space="preserve">la </w:t>
      </w:r>
      <w:r w:rsidRPr="00115A41">
        <w:rPr>
          <w:sz w:val="32"/>
          <w:szCs w:val="32"/>
        </w:rPr>
        <w:t xml:space="preserve">relación </w:t>
      </w:r>
      <w:r w:rsidR="00903D4C">
        <w:rPr>
          <w:sz w:val="32"/>
          <w:szCs w:val="32"/>
        </w:rPr>
        <w:t xml:space="preserve">más cercana </w:t>
      </w:r>
      <w:r w:rsidRPr="00115A41">
        <w:rPr>
          <w:sz w:val="32"/>
          <w:szCs w:val="32"/>
        </w:rPr>
        <w:t xml:space="preserve">con </w:t>
      </w:r>
      <w:r w:rsidR="00903D4C">
        <w:rPr>
          <w:sz w:val="32"/>
          <w:szCs w:val="32"/>
        </w:rPr>
        <w:t xml:space="preserve">habitantes de </w:t>
      </w:r>
      <w:r w:rsidRPr="00115A41">
        <w:rPr>
          <w:sz w:val="32"/>
          <w:szCs w:val="32"/>
        </w:rPr>
        <w:t>comunidades</w:t>
      </w:r>
      <w:r w:rsidR="00903D4C">
        <w:rPr>
          <w:sz w:val="32"/>
          <w:szCs w:val="32"/>
        </w:rPr>
        <w:t xml:space="preserve"> rurales y urbanas</w:t>
      </w:r>
      <w:r w:rsidRPr="00115A41">
        <w:rPr>
          <w:sz w:val="32"/>
          <w:szCs w:val="32"/>
        </w:rPr>
        <w:t>.</w:t>
      </w:r>
    </w:p>
    <w:p w:rsidR="00903D4C" w:rsidRPr="00903D4C" w:rsidRDefault="00903D4C" w:rsidP="009261EA">
      <w:pPr>
        <w:keepNext/>
        <w:keepLines/>
        <w:spacing w:line="360" w:lineRule="auto"/>
        <w:ind w:firstLine="360"/>
        <w:jc w:val="both"/>
        <w:rPr>
          <w:sz w:val="32"/>
          <w:szCs w:val="32"/>
          <w:lang w:val="es-ES"/>
        </w:rPr>
      </w:pPr>
      <w:r w:rsidRPr="00903D4C">
        <w:rPr>
          <w:sz w:val="32"/>
          <w:szCs w:val="32"/>
          <w:lang w:val="es-ES"/>
        </w:rPr>
        <w:t>En 2014</w:t>
      </w:r>
      <w:r>
        <w:rPr>
          <w:sz w:val="32"/>
          <w:szCs w:val="32"/>
          <w:lang w:val="es-ES"/>
        </w:rPr>
        <w:t>,</w:t>
      </w:r>
      <w:r w:rsidRPr="00903D4C">
        <w:rPr>
          <w:sz w:val="32"/>
          <w:szCs w:val="32"/>
          <w:lang w:val="es-ES"/>
        </w:rPr>
        <w:t xml:space="preserve"> la participación del </w:t>
      </w:r>
      <w:r>
        <w:rPr>
          <w:sz w:val="32"/>
          <w:szCs w:val="32"/>
          <w:lang w:val="es-ES"/>
        </w:rPr>
        <w:t xml:space="preserve">Producto Interno Bruto (PIB) </w:t>
      </w:r>
      <w:r w:rsidRPr="00903D4C">
        <w:rPr>
          <w:sz w:val="32"/>
          <w:szCs w:val="32"/>
          <w:lang w:val="es-ES"/>
        </w:rPr>
        <w:t xml:space="preserve">minero-metalúrgico representó 8.9 por ciento del PIB Industrial y 3 por ciento del PIB Nacional, de acuerdo con datos del Sistema de Cuentas Nacionales del </w:t>
      </w:r>
      <w:r>
        <w:rPr>
          <w:sz w:val="32"/>
          <w:szCs w:val="32"/>
          <w:lang w:val="es-ES"/>
        </w:rPr>
        <w:t>Instituto Nacional de Estadística Geografía e Informática (INEGI)</w:t>
      </w:r>
      <w:r w:rsidRPr="00903D4C">
        <w:rPr>
          <w:sz w:val="32"/>
          <w:szCs w:val="32"/>
          <w:lang w:val="es-ES"/>
        </w:rPr>
        <w:t>.</w:t>
      </w:r>
    </w:p>
    <w:p w:rsidR="00903D4C" w:rsidRPr="00903D4C" w:rsidRDefault="00903D4C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  <w:lang w:val="es-ES"/>
        </w:rPr>
      </w:pPr>
      <w:r w:rsidRPr="00903D4C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se mismo año</w:t>
      </w:r>
      <w:r w:rsidRPr="00903D4C">
        <w:rPr>
          <w:sz w:val="32"/>
          <w:szCs w:val="32"/>
          <w:lang w:val="es-ES"/>
        </w:rPr>
        <w:t>, el valor de la producción minero-metalúrgica</w:t>
      </w:r>
      <w:r w:rsidR="002A5AF1">
        <w:rPr>
          <w:sz w:val="32"/>
          <w:szCs w:val="32"/>
          <w:lang w:val="es-ES"/>
        </w:rPr>
        <w:t xml:space="preserve"> </w:t>
      </w:r>
      <w:r w:rsidRPr="00903D4C">
        <w:rPr>
          <w:sz w:val="32"/>
          <w:szCs w:val="32"/>
          <w:lang w:val="es-ES"/>
        </w:rPr>
        <w:t>fue de 196 mil 967 millones de pesos</w:t>
      </w:r>
      <w:r>
        <w:rPr>
          <w:sz w:val="32"/>
          <w:szCs w:val="32"/>
          <w:lang w:val="es-ES"/>
        </w:rPr>
        <w:t xml:space="preserve">, según </w:t>
      </w:r>
      <w:r w:rsidRPr="00903D4C">
        <w:rPr>
          <w:sz w:val="32"/>
          <w:szCs w:val="32"/>
          <w:lang w:val="es-ES"/>
        </w:rPr>
        <w:t>datos del I</w:t>
      </w:r>
      <w:r>
        <w:rPr>
          <w:sz w:val="32"/>
          <w:szCs w:val="32"/>
          <w:lang w:val="es-ES"/>
        </w:rPr>
        <w:t>NEGI</w:t>
      </w:r>
      <w:r w:rsidRPr="00903D4C">
        <w:rPr>
          <w:sz w:val="32"/>
          <w:szCs w:val="32"/>
          <w:lang w:val="es-ES"/>
        </w:rPr>
        <w:t>.</w:t>
      </w:r>
    </w:p>
    <w:p w:rsidR="00B65B53" w:rsidRDefault="00903D4C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  <w:lang w:val="es-ES"/>
        </w:rPr>
      </w:pPr>
      <w:r w:rsidRPr="00903D4C">
        <w:rPr>
          <w:sz w:val="32"/>
          <w:szCs w:val="32"/>
          <w:lang w:val="es-ES"/>
        </w:rPr>
        <w:t>Las inversiones del sector minero-metalúrgico en 2014 sumaron 4 mil 948 millones de dólares.</w:t>
      </w:r>
    </w:p>
    <w:p w:rsidR="00903D4C" w:rsidRPr="00E64627" w:rsidRDefault="00903D4C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  <w:lang w:val="es-ES"/>
        </w:rPr>
      </w:pPr>
      <w:r w:rsidRPr="00903D4C">
        <w:rPr>
          <w:sz w:val="32"/>
          <w:szCs w:val="32"/>
          <w:lang w:val="es-ES"/>
        </w:rPr>
        <w:t xml:space="preserve">La </w:t>
      </w:r>
      <w:r w:rsidR="00E64627">
        <w:rPr>
          <w:sz w:val="32"/>
          <w:szCs w:val="32"/>
          <w:lang w:val="es-ES"/>
        </w:rPr>
        <w:t xml:space="preserve">IED </w:t>
      </w:r>
      <w:r w:rsidRPr="00903D4C">
        <w:rPr>
          <w:sz w:val="32"/>
          <w:szCs w:val="32"/>
          <w:lang w:val="es-ES"/>
        </w:rPr>
        <w:t>en minería</w:t>
      </w:r>
      <w:r w:rsidR="009261EA">
        <w:rPr>
          <w:sz w:val="32"/>
          <w:szCs w:val="32"/>
          <w:lang w:val="es-ES"/>
        </w:rPr>
        <w:t xml:space="preserve"> </w:t>
      </w:r>
      <w:r w:rsidRPr="00903D4C">
        <w:rPr>
          <w:sz w:val="32"/>
          <w:szCs w:val="32"/>
          <w:lang w:val="es-ES"/>
        </w:rPr>
        <w:t>ascendió a 2 mil 117 millones de dólares</w:t>
      </w:r>
      <w:r w:rsidR="00B65B53">
        <w:rPr>
          <w:sz w:val="32"/>
          <w:szCs w:val="32"/>
          <w:lang w:val="es-ES"/>
        </w:rPr>
        <w:t xml:space="preserve">, </w:t>
      </w:r>
      <w:r w:rsidR="00B65B53" w:rsidRPr="00903D4C">
        <w:rPr>
          <w:sz w:val="32"/>
          <w:szCs w:val="32"/>
          <w:lang w:val="es-ES"/>
        </w:rPr>
        <w:t>de enero a diciembre de 2014</w:t>
      </w:r>
      <w:r w:rsidR="00B65B53">
        <w:rPr>
          <w:sz w:val="32"/>
          <w:szCs w:val="32"/>
          <w:lang w:val="es-ES"/>
        </w:rPr>
        <w:t>, d</w:t>
      </w:r>
      <w:r w:rsidR="00B65B53" w:rsidRPr="00903D4C">
        <w:rPr>
          <w:sz w:val="32"/>
          <w:szCs w:val="32"/>
          <w:lang w:val="es-ES"/>
        </w:rPr>
        <w:t>e acuerdo con datos de la Secretaría de Economía</w:t>
      </w:r>
      <w:r w:rsidR="00B65B53">
        <w:rPr>
          <w:sz w:val="32"/>
          <w:szCs w:val="32"/>
          <w:lang w:val="es-ES"/>
        </w:rPr>
        <w:t>.</w:t>
      </w:r>
    </w:p>
    <w:p w:rsidR="00223A4E" w:rsidRDefault="00E42D27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rFonts w:cs="Arial"/>
          <w:sz w:val="32"/>
          <w:lang w:val="es-ES_tradnl"/>
        </w:rPr>
        <w:t xml:space="preserve">A nivel mundial, </w:t>
      </w:r>
      <w:r w:rsidR="009D635B">
        <w:rPr>
          <w:rFonts w:cs="Arial"/>
          <w:sz w:val="32"/>
          <w:lang w:val="es-ES_tradnl"/>
        </w:rPr>
        <w:t xml:space="preserve">el país </w:t>
      </w:r>
      <w:r w:rsidR="009F2D28" w:rsidRPr="005345F8">
        <w:rPr>
          <w:rFonts w:cs="Arial"/>
          <w:sz w:val="32"/>
          <w:lang w:val="es-ES_tradnl"/>
        </w:rPr>
        <w:t xml:space="preserve">ocupa el primer </w:t>
      </w:r>
      <w:r w:rsidR="000A7EB6">
        <w:rPr>
          <w:rFonts w:cs="Arial"/>
          <w:sz w:val="32"/>
          <w:lang w:val="es-ES_tradnl"/>
        </w:rPr>
        <w:t>lugar en la producción de plata; el quinto en plomo y zinc; el nove</w:t>
      </w:r>
      <w:r w:rsidR="00B17137">
        <w:rPr>
          <w:rFonts w:cs="Arial"/>
          <w:sz w:val="32"/>
          <w:lang w:val="es-ES_tradnl"/>
        </w:rPr>
        <w:t>no en oro y el décimo en cobre. Zacatecas destaca en el mundo por su extracción de plata.</w:t>
      </w:r>
    </w:p>
    <w:p w:rsidR="00223A4E" w:rsidRDefault="00223A4E" w:rsidP="00FE4BAB">
      <w:pPr>
        <w:keepNext/>
        <w:keepLines/>
        <w:spacing w:line="360" w:lineRule="auto"/>
        <w:ind w:firstLine="708"/>
        <w:jc w:val="both"/>
        <w:rPr>
          <w:rFonts w:cs="Arial"/>
          <w:sz w:val="32"/>
          <w:lang w:val="es-ES_tradnl"/>
        </w:rPr>
      </w:pPr>
      <w:r>
        <w:rPr>
          <w:rFonts w:cs="Arial"/>
          <w:sz w:val="32"/>
          <w:lang w:val="es-ES_tradnl"/>
        </w:rPr>
        <w:lastRenderedPageBreak/>
        <w:t xml:space="preserve">De un conjunto de 160 países mineros, México </w:t>
      </w:r>
      <w:r w:rsidR="009F2D28" w:rsidRPr="00F62034">
        <w:rPr>
          <w:rFonts w:cs="Arial"/>
          <w:sz w:val="32"/>
          <w:lang w:val="es-ES_tradnl"/>
        </w:rPr>
        <w:t>está entre los 10 principales productores de</w:t>
      </w:r>
      <w:r w:rsidR="00F62034" w:rsidRPr="00F62034">
        <w:rPr>
          <w:rFonts w:cs="Arial"/>
          <w:sz w:val="32"/>
          <w:lang w:val="es-ES_tradnl"/>
        </w:rPr>
        <w:t xml:space="preserve"> estroncio, wollastonita, bentonita, cadmio, barita, </w:t>
      </w:r>
      <w:r w:rsidR="009F2D28" w:rsidRPr="00F62034">
        <w:rPr>
          <w:rFonts w:cs="Arial"/>
          <w:sz w:val="32"/>
          <w:lang w:val="es-ES_tradnl"/>
        </w:rPr>
        <w:t>plomo</w:t>
      </w:r>
      <w:r w:rsidR="000A7EB6">
        <w:rPr>
          <w:rFonts w:cs="Arial"/>
          <w:sz w:val="32"/>
          <w:lang w:val="es-ES_tradnl"/>
        </w:rPr>
        <w:t xml:space="preserve">, </w:t>
      </w:r>
      <w:r w:rsidR="00F62034" w:rsidRPr="00F62034">
        <w:rPr>
          <w:rFonts w:cs="Arial"/>
          <w:sz w:val="32"/>
          <w:lang w:val="es-ES_tradnl"/>
        </w:rPr>
        <w:t xml:space="preserve">caolín, </w:t>
      </w:r>
      <w:r w:rsidR="009F2D28" w:rsidRPr="00F62034">
        <w:rPr>
          <w:rFonts w:cs="Arial"/>
          <w:sz w:val="32"/>
          <w:lang w:val="es-ES_tradnl"/>
        </w:rPr>
        <w:t>bismuto, fluorita, grafito, sal, yeso</w:t>
      </w:r>
      <w:r w:rsidR="00F62034" w:rsidRPr="00F62034">
        <w:rPr>
          <w:rFonts w:cs="Arial"/>
          <w:sz w:val="32"/>
          <w:lang w:val="es-ES_tradnl"/>
        </w:rPr>
        <w:t xml:space="preserve"> y diatomita</w:t>
      </w:r>
      <w:r w:rsidR="009F2D28" w:rsidRPr="00F62034">
        <w:rPr>
          <w:rFonts w:cs="Arial"/>
          <w:sz w:val="32"/>
          <w:lang w:val="es-ES_tradnl"/>
        </w:rPr>
        <w:t>, entre otros minerales.</w:t>
      </w:r>
    </w:p>
    <w:p w:rsidR="00531069" w:rsidRDefault="0053106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rFonts w:cs="Arial"/>
          <w:sz w:val="32"/>
          <w:lang w:val="es-ES_tradnl"/>
        </w:rPr>
        <w:t>La minería es una de las cinco principales fuentes de ingreso de divisas de México, junto a las exportaciones no petroleras, el turismo, el petróleo y las remesas de emigrantes.</w:t>
      </w:r>
    </w:p>
    <w:p w:rsidR="00601A94" w:rsidRDefault="00AC181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rFonts w:cs="Arial"/>
          <w:sz w:val="32"/>
          <w:lang w:val="es-ES_tradnl"/>
        </w:rPr>
        <w:t xml:space="preserve">México es </w:t>
      </w:r>
      <w:r w:rsidR="009F2D28" w:rsidRPr="005345F8">
        <w:rPr>
          <w:rFonts w:cs="Arial"/>
          <w:sz w:val="32"/>
          <w:lang w:val="es-ES_tradnl"/>
        </w:rPr>
        <w:t xml:space="preserve">el primer destino en inversión en exploración minera en América Latina y el cuarto en el mundo, de acuerdo con el reporte publicado por </w:t>
      </w:r>
      <w:proofErr w:type="spellStart"/>
      <w:r w:rsidR="009F2D28" w:rsidRPr="00E42D27">
        <w:rPr>
          <w:rFonts w:cs="Arial"/>
          <w:i/>
          <w:sz w:val="32"/>
          <w:lang w:val="es-ES_tradnl"/>
        </w:rPr>
        <w:t>Metals</w:t>
      </w:r>
      <w:proofErr w:type="spellEnd"/>
      <w:r w:rsidR="00293746">
        <w:rPr>
          <w:rFonts w:cs="Arial"/>
          <w:i/>
          <w:sz w:val="32"/>
          <w:lang w:val="es-ES_tradnl"/>
        </w:rPr>
        <w:t xml:space="preserve"> </w:t>
      </w:r>
      <w:proofErr w:type="spellStart"/>
      <w:r w:rsidR="009F2D28" w:rsidRPr="00E42D27">
        <w:rPr>
          <w:rFonts w:cs="Arial"/>
          <w:i/>
          <w:sz w:val="32"/>
          <w:lang w:val="es-ES_tradnl"/>
        </w:rPr>
        <w:t>Economics</w:t>
      </w:r>
      <w:proofErr w:type="spellEnd"/>
      <w:r w:rsidR="00293746">
        <w:rPr>
          <w:rFonts w:cs="Arial"/>
          <w:i/>
          <w:sz w:val="32"/>
          <w:lang w:val="es-ES_tradnl"/>
        </w:rPr>
        <w:t xml:space="preserve"> </w:t>
      </w:r>
      <w:proofErr w:type="spellStart"/>
      <w:r w:rsidR="009F2D28" w:rsidRPr="00E42D27">
        <w:rPr>
          <w:rFonts w:cs="Arial"/>
          <w:i/>
          <w:sz w:val="32"/>
          <w:lang w:val="es-ES_tradnl"/>
        </w:rPr>
        <w:t>Group</w:t>
      </w:r>
      <w:proofErr w:type="spellEnd"/>
      <w:r w:rsidR="00E42D27">
        <w:rPr>
          <w:rFonts w:cs="Arial"/>
          <w:sz w:val="32"/>
          <w:lang w:val="es-ES_tradnl"/>
        </w:rPr>
        <w:t xml:space="preserve">, </w:t>
      </w:r>
      <w:r w:rsidR="009F2D28" w:rsidRPr="005345F8">
        <w:rPr>
          <w:rFonts w:cs="Arial"/>
          <w:sz w:val="32"/>
          <w:lang w:val="es-ES_tradnl"/>
        </w:rPr>
        <w:t>en 2013.</w:t>
      </w:r>
    </w:p>
    <w:p w:rsidR="00DD268D" w:rsidRDefault="001B30E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1B30EA">
        <w:rPr>
          <w:sz w:val="32"/>
          <w:szCs w:val="32"/>
        </w:rPr>
        <w:t xml:space="preserve">Además, somos el quinto país con </w:t>
      </w:r>
      <w:r w:rsidR="00AC1818">
        <w:rPr>
          <w:sz w:val="32"/>
          <w:szCs w:val="32"/>
        </w:rPr>
        <w:t xml:space="preserve">el </w:t>
      </w:r>
      <w:r w:rsidRPr="001B30EA">
        <w:rPr>
          <w:sz w:val="32"/>
          <w:szCs w:val="32"/>
        </w:rPr>
        <w:t xml:space="preserve">mejor ambiente para hacer negocios mineros, de acuerdo </w:t>
      </w:r>
      <w:r w:rsidR="00E42D27">
        <w:rPr>
          <w:sz w:val="32"/>
          <w:szCs w:val="32"/>
        </w:rPr>
        <w:t xml:space="preserve">con el </w:t>
      </w:r>
      <w:r w:rsidRPr="001B30EA">
        <w:rPr>
          <w:sz w:val="32"/>
          <w:szCs w:val="32"/>
        </w:rPr>
        <w:t xml:space="preserve">reporte de la consultora </w:t>
      </w:r>
      <w:proofErr w:type="spellStart"/>
      <w:r w:rsidRPr="00E42D27">
        <w:rPr>
          <w:i/>
          <w:sz w:val="32"/>
          <w:szCs w:val="32"/>
        </w:rPr>
        <w:t>Behre</w:t>
      </w:r>
      <w:proofErr w:type="spellEnd"/>
      <w:r w:rsidR="0045784A">
        <w:rPr>
          <w:i/>
          <w:sz w:val="32"/>
          <w:szCs w:val="32"/>
        </w:rPr>
        <w:t xml:space="preserve"> </w:t>
      </w:r>
      <w:proofErr w:type="spellStart"/>
      <w:r w:rsidRPr="00E42D27">
        <w:rPr>
          <w:i/>
          <w:sz w:val="32"/>
          <w:szCs w:val="32"/>
        </w:rPr>
        <w:t>Dolbear</w:t>
      </w:r>
      <w:proofErr w:type="spellEnd"/>
      <w:r w:rsidRPr="001B30EA">
        <w:rPr>
          <w:sz w:val="32"/>
          <w:szCs w:val="32"/>
        </w:rPr>
        <w:t xml:space="preserve">, publicado en abril </w:t>
      </w:r>
      <w:r w:rsidR="00E42D27">
        <w:rPr>
          <w:sz w:val="32"/>
          <w:szCs w:val="32"/>
        </w:rPr>
        <w:t xml:space="preserve">de </w:t>
      </w:r>
      <w:r w:rsidRPr="001B30EA">
        <w:rPr>
          <w:sz w:val="32"/>
          <w:szCs w:val="32"/>
        </w:rPr>
        <w:t>2013.</w:t>
      </w:r>
    </w:p>
    <w:p w:rsidR="00C8356A" w:rsidRDefault="009F2D2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9F2D28">
        <w:rPr>
          <w:sz w:val="32"/>
          <w:szCs w:val="32"/>
        </w:rPr>
        <w:t>La minería en el país es motivo de orgullo y origen de grandes logros económicos a lo largo de siglos.</w:t>
      </w:r>
    </w:p>
    <w:p w:rsidR="00033997" w:rsidRDefault="009F2D28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9F2D28">
        <w:rPr>
          <w:sz w:val="32"/>
          <w:szCs w:val="32"/>
        </w:rPr>
        <w:t>No hay duda acerca del valor de esta industria y de las repercusiones que ha tenido en la vida económica</w:t>
      </w:r>
      <w:r>
        <w:rPr>
          <w:sz w:val="32"/>
          <w:szCs w:val="32"/>
        </w:rPr>
        <w:t xml:space="preserve"> de la nación</w:t>
      </w:r>
      <w:r w:rsidR="00F24E5A">
        <w:rPr>
          <w:sz w:val="32"/>
          <w:szCs w:val="32"/>
        </w:rPr>
        <w:t>, a lo largo de su historia</w:t>
      </w:r>
      <w:r>
        <w:rPr>
          <w:sz w:val="32"/>
          <w:szCs w:val="32"/>
        </w:rPr>
        <w:t>.</w:t>
      </w:r>
    </w:p>
    <w:p w:rsidR="005471E5" w:rsidRDefault="00BF7244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extracción de minerales se remonta al periodo </w:t>
      </w:r>
      <w:r w:rsidR="00F24E5A">
        <w:rPr>
          <w:sz w:val="32"/>
          <w:szCs w:val="32"/>
        </w:rPr>
        <w:t>prehispánico, pero la minería comercial se establece en el siglo XVI.</w:t>
      </w:r>
    </w:p>
    <w:p w:rsidR="00AC1818" w:rsidRDefault="00F24E5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Los primeros estados que destacaron en </w:t>
      </w:r>
      <w:r w:rsidR="0027421C">
        <w:rPr>
          <w:sz w:val="32"/>
          <w:szCs w:val="32"/>
        </w:rPr>
        <w:t xml:space="preserve">esta actividad fueron Guerrero y </w:t>
      </w:r>
      <w:r>
        <w:rPr>
          <w:sz w:val="32"/>
          <w:szCs w:val="32"/>
        </w:rPr>
        <w:t>Querétaro</w:t>
      </w:r>
      <w:r w:rsidR="0027421C">
        <w:rPr>
          <w:sz w:val="32"/>
          <w:szCs w:val="32"/>
        </w:rPr>
        <w:t>.</w:t>
      </w:r>
    </w:p>
    <w:p w:rsidR="009071CB" w:rsidRDefault="005471E5" w:rsidP="00FE4BAB">
      <w:pPr>
        <w:keepNext/>
        <w:keepLines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B218E">
        <w:rPr>
          <w:sz w:val="32"/>
          <w:szCs w:val="32"/>
        </w:rPr>
        <w:t xml:space="preserve">El descubrimiento de la mina </w:t>
      </w:r>
      <w:r w:rsidR="00F37D8F">
        <w:rPr>
          <w:sz w:val="32"/>
          <w:szCs w:val="32"/>
        </w:rPr>
        <w:t xml:space="preserve">de San Bernabé </w:t>
      </w:r>
      <w:r w:rsidR="008A3B21">
        <w:rPr>
          <w:sz w:val="32"/>
          <w:szCs w:val="32"/>
        </w:rPr>
        <w:t>en</w:t>
      </w:r>
      <w:r w:rsidR="009071CB">
        <w:rPr>
          <w:sz w:val="32"/>
          <w:szCs w:val="32"/>
        </w:rPr>
        <w:t xml:space="preserve"> 1546, en lo que hoy es el Estado de Zacatecas</w:t>
      </w:r>
      <w:r w:rsidR="004B218E">
        <w:rPr>
          <w:sz w:val="32"/>
          <w:szCs w:val="32"/>
        </w:rPr>
        <w:t xml:space="preserve">, fue uno de los factores que reorientó </w:t>
      </w:r>
      <w:r w:rsidR="00D51405">
        <w:rPr>
          <w:sz w:val="32"/>
          <w:szCs w:val="32"/>
        </w:rPr>
        <w:t xml:space="preserve">y financió </w:t>
      </w:r>
      <w:r w:rsidR="004B218E">
        <w:rPr>
          <w:sz w:val="32"/>
          <w:szCs w:val="32"/>
        </w:rPr>
        <w:t>las rutas de explotación hacia el norte, hace cinco siglos.</w:t>
      </w:r>
      <w:r w:rsidR="00BA1819">
        <w:rPr>
          <w:sz w:val="32"/>
          <w:szCs w:val="32"/>
        </w:rPr>
        <w:t xml:space="preserve"> Desde entonces, Zacatecas ha sido puntal en el uso de tecnologías y en la transformación de las condiciones de trabajo y protección al ambiente. </w:t>
      </w:r>
      <w:r w:rsidR="00E06202">
        <w:rPr>
          <w:sz w:val="32"/>
          <w:szCs w:val="32"/>
        </w:rPr>
        <w:t>Existen registros históricos que fijan reglas para evitar la destrucción indiscriminada de bosques y para impedir que los indígenas no realizaran trabajos riesgos en fundos y fundiciones.</w:t>
      </w:r>
    </w:p>
    <w:p w:rsidR="00AC1818" w:rsidRDefault="009071CB" w:rsidP="009071C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Hacia la década de 1550 fueron descubiertas las vetas del actual estado de Guanajuato, que en el siglo XVIII llegó a ser el mayor productor de plata del mundo.</w:t>
      </w:r>
    </w:p>
    <w:p w:rsidR="00092066" w:rsidRPr="00092066" w:rsidRDefault="00092066" w:rsidP="00FE4BAB">
      <w:pPr>
        <w:keepNext/>
        <w:keepLines/>
        <w:spacing w:line="360" w:lineRule="auto"/>
        <w:jc w:val="both"/>
        <w:rPr>
          <w:b/>
          <w:sz w:val="32"/>
          <w:szCs w:val="32"/>
        </w:rPr>
      </w:pPr>
      <w:r w:rsidRPr="00092066">
        <w:rPr>
          <w:b/>
          <w:sz w:val="32"/>
          <w:szCs w:val="32"/>
        </w:rPr>
        <w:t xml:space="preserve">La </w:t>
      </w:r>
      <w:proofErr w:type="spellStart"/>
      <w:r w:rsidRPr="00092066">
        <w:rPr>
          <w:b/>
          <w:sz w:val="32"/>
          <w:szCs w:val="32"/>
        </w:rPr>
        <w:t>C</w:t>
      </w:r>
      <w:r w:rsidR="00B65B53">
        <w:rPr>
          <w:b/>
          <w:sz w:val="32"/>
          <w:szCs w:val="32"/>
        </w:rPr>
        <w:t>onago</w:t>
      </w:r>
      <w:proofErr w:type="spellEnd"/>
      <w:r w:rsidRPr="00092066">
        <w:rPr>
          <w:b/>
          <w:sz w:val="32"/>
          <w:szCs w:val="32"/>
        </w:rPr>
        <w:t xml:space="preserve"> y las reformas a la Ley Federal de Derechos</w:t>
      </w:r>
    </w:p>
    <w:p w:rsidR="00C8356A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41D29">
        <w:rPr>
          <w:sz w:val="32"/>
          <w:szCs w:val="32"/>
        </w:rPr>
        <w:t>En la Comi</w:t>
      </w:r>
      <w:r>
        <w:rPr>
          <w:sz w:val="32"/>
          <w:szCs w:val="32"/>
        </w:rPr>
        <w:t xml:space="preserve">sión de Minería de la </w:t>
      </w:r>
      <w:proofErr w:type="spellStart"/>
      <w:r w:rsidR="00E37CC4">
        <w:rPr>
          <w:sz w:val="32"/>
          <w:szCs w:val="32"/>
        </w:rPr>
        <w:t>Conago</w:t>
      </w:r>
      <w:proofErr w:type="spellEnd"/>
      <w:r w:rsidR="0045784A">
        <w:rPr>
          <w:sz w:val="32"/>
          <w:szCs w:val="32"/>
        </w:rPr>
        <w:t xml:space="preserve"> </w:t>
      </w:r>
      <w:r>
        <w:rPr>
          <w:sz w:val="32"/>
          <w:szCs w:val="32"/>
        </w:rPr>
        <w:t>observamos</w:t>
      </w:r>
      <w:r w:rsidR="0045784A">
        <w:rPr>
          <w:sz w:val="32"/>
          <w:szCs w:val="32"/>
        </w:rPr>
        <w:t xml:space="preserve"> </w:t>
      </w:r>
      <w:r w:rsidR="00E42D27">
        <w:rPr>
          <w:sz w:val="32"/>
          <w:szCs w:val="32"/>
        </w:rPr>
        <w:t xml:space="preserve">que </w:t>
      </w:r>
      <w:r w:rsidR="00966FCC">
        <w:rPr>
          <w:sz w:val="32"/>
          <w:szCs w:val="32"/>
        </w:rPr>
        <w:t>la actividad minera</w:t>
      </w:r>
      <w:r w:rsidR="0045784A">
        <w:rPr>
          <w:sz w:val="32"/>
          <w:szCs w:val="32"/>
        </w:rPr>
        <w:t xml:space="preserve"> </w:t>
      </w:r>
      <w:r w:rsidR="0021036B">
        <w:rPr>
          <w:sz w:val="32"/>
          <w:szCs w:val="32"/>
        </w:rPr>
        <w:t xml:space="preserve">debe avanzar </w:t>
      </w:r>
      <w:r w:rsidR="009F2D28" w:rsidRPr="009F2D28">
        <w:rPr>
          <w:sz w:val="32"/>
          <w:szCs w:val="32"/>
        </w:rPr>
        <w:t>hacia el cumplimiento de nuevas metas y objetivos, que superen para siempre el concepto de la simple</w:t>
      </w:r>
      <w:r w:rsidR="009F2D28">
        <w:rPr>
          <w:sz w:val="32"/>
          <w:szCs w:val="32"/>
        </w:rPr>
        <w:t xml:space="preserve"> extracción de minerales.</w:t>
      </w:r>
    </w:p>
    <w:p w:rsidR="00966FCC" w:rsidRDefault="00A7532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9F2D28" w:rsidRPr="009F2D28">
        <w:rPr>
          <w:sz w:val="32"/>
          <w:szCs w:val="32"/>
        </w:rPr>
        <w:t xml:space="preserve">l sector minero de México tiene que crecer con una visión de valor </w:t>
      </w:r>
      <w:r w:rsidR="00C8356A">
        <w:rPr>
          <w:sz w:val="32"/>
          <w:szCs w:val="32"/>
        </w:rPr>
        <w:t xml:space="preserve">agregado </w:t>
      </w:r>
      <w:r w:rsidR="009F2D28" w:rsidRPr="009F2D28">
        <w:rPr>
          <w:sz w:val="32"/>
          <w:szCs w:val="32"/>
        </w:rPr>
        <w:t>y desarrollo sustentable.</w:t>
      </w:r>
    </w:p>
    <w:p w:rsidR="00966FCC" w:rsidRDefault="00341D29" w:rsidP="004A174C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41D29">
        <w:rPr>
          <w:sz w:val="32"/>
          <w:szCs w:val="32"/>
        </w:rPr>
        <w:lastRenderedPageBreak/>
        <w:t>El alto valor económico de la minería debe ser similar a su aportación al desarrollo humano</w:t>
      </w:r>
      <w:r w:rsidR="00966FCC">
        <w:rPr>
          <w:sz w:val="32"/>
          <w:szCs w:val="32"/>
        </w:rPr>
        <w:t xml:space="preserve"> integral</w:t>
      </w:r>
      <w:r w:rsidRPr="00341D29">
        <w:rPr>
          <w:sz w:val="32"/>
          <w:szCs w:val="32"/>
        </w:rPr>
        <w:t xml:space="preserve"> en los municipios y estados en los cuales </w:t>
      </w:r>
      <w:r w:rsidR="004A174C">
        <w:rPr>
          <w:sz w:val="32"/>
          <w:szCs w:val="32"/>
        </w:rPr>
        <w:t>tiene lugar.</w:t>
      </w:r>
    </w:p>
    <w:p w:rsidR="00966FCC" w:rsidRDefault="0021036B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41D29">
        <w:rPr>
          <w:sz w:val="32"/>
          <w:szCs w:val="32"/>
        </w:rPr>
        <w:t xml:space="preserve">esde la Comisión de Minería de la </w:t>
      </w:r>
      <w:proofErr w:type="spellStart"/>
      <w:r w:rsidR="00E06202">
        <w:rPr>
          <w:sz w:val="32"/>
          <w:szCs w:val="32"/>
        </w:rPr>
        <w:t>Conago</w:t>
      </w:r>
      <w:proofErr w:type="spellEnd"/>
      <w:r w:rsidR="0045784A">
        <w:rPr>
          <w:sz w:val="32"/>
          <w:szCs w:val="32"/>
        </w:rPr>
        <w:t xml:space="preserve"> </w:t>
      </w:r>
      <w:r w:rsidR="00341D29">
        <w:rPr>
          <w:sz w:val="32"/>
          <w:szCs w:val="32"/>
        </w:rPr>
        <w:t xml:space="preserve">y con el apoyo del </w:t>
      </w:r>
      <w:r w:rsidR="00341D29" w:rsidRPr="00341D29">
        <w:rPr>
          <w:sz w:val="32"/>
          <w:szCs w:val="32"/>
        </w:rPr>
        <w:t xml:space="preserve">Pleno de </w:t>
      </w:r>
      <w:r w:rsidR="00341D29">
        <w:rPr>
          <w:sz w:val="32"/>
          <w:szCs w:val="32"/>
        </w:rPr>
        <w:t>Gobernadores solicitamos</w:t>
      </w:r>
      <w:r w:rsidR="00341D29" w:rsidRPr="00341D29">
        <w:rPr>
          <w:sz w:val="32"/>
          <w:szCs w:val="32"/>
        </w:rPr>
        <w:t xml:space="preserve"> respetuosamente a la Cámara de Senadores </w:t>
      </w:r>
      <w:r w:rsidR="00341D29">
        <w:rPr>
          <w:sz w:val="32"/>
          <w:szCs w:val="32"/>
        </w:rPr>
        <w:t xml:space="preserve">participar en el </w:t>
      </w:r>
      <w:r w:rsidR="00341D29" w:rsidRPr="00341D29">
        <w:rPr>
          <w:sz w:val="32"/>
          <w:szCs w:val="32"/>
        </w:rPr>
        <w:t>debate sobre las reformas y adiciones a diversas disposiciones de la Ley Minera y de la Ley de Coordinación Fisc</w:t>
      </w:r>
      <w:r w:rsidR="00341D29">
        <w:rPr>
          <w:sz w:val="32"/>
          <w:szCs w:val="32"/>
        </w:rPr>
        <w:t xml:space="preserve">al, </w:t>
      </w:r>
      <w:r w:rsidR="00E06202">
        <w:rPr>
          <w:sz w:val="32"/>
          <w:szCs w:val="32"/>
        </w:rPr>
        <w:t xml:space="preserve">propuestas por </w:t>
      </w:r>
      <w:r w:rsidR="00341D29">
        <w:rPr>
          <w:sz w:val="32"/>
          <w:szCs w:val="32"/>
        </w:rPr>
        <w:t>l</w:t>
      </w:r>
      <w:r w:rsidR="00966FCC">
        <w:rPr>
          <w:sz w:val="32"/>
          <w:szCs w:val="32"/>
        </w:rPr>
        <w:t>a Cámara de Diputados</w:t>
      </w:r>
      <w:r w:rsidR="00E06202">
        <w:rPr>
          <w:sz w:val="32"/>
          <w:szCs w:val="32"/>
        </w:rPr>
        <w:t xml:space="preserve"> en la LXII Legislatura</w:t>
      </w:r>
      <w:r w:rsidR="00966FCC">
        <w:rPr>
          <w:sz w:val="32"/>
          <w:szCs w:val="32"/>
        </w:rPr>
        <w:t>.</w:t>
      </w:r>
    </w:p>
    <w:p w:rsidR="00966FCC" w:rsidRDefault="0021036B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El</w:t>
      </w:r>
      <w:r w:rsidR="00341D29" w:rsidRPr="00341D29">
        <w:rPr>
          <w:sz w:val="32"/>
          <w:szCs w:val="32"/>
        </w:rPr>
        <w:t xml:space="preserve"> 24 de abril de</w:t>
      </w:r>
      <w:r w:rsidR="00D70CC9">
        <w:rPr>
          <w:sz w:val="32"/>
          <w:szCs w:val="32"/>
        </w:rPr>
        <w:t xml:space="preserve"> </w:t>
      </w:r>
      <w:r w:rsidR="00341D29" w:rsidRPr="00341D29">
        <w:rPr>
          <w:sz w:val="32"/>
          <w:szCs w:val="32"/>
        </w:rPr>
        <w:t xml:space="preserve">2013 se </w:t>
      </w:r>
      <w:r w:rsidR="003D674E">
        <w:rPr>
          <w:sz w:val="32"/>
          <w:szCs w:val="32"/>
        </w:rPr>
        <w:t>presentó</w:t>
      </w:r>
      <w:r>
        <w:rPr>
          <w:sz w:val="32"/>
          <w:szCs w:val="32"/>
        </w:rPr>
        <w:t xml:space="preserve"> la propuesta de </w:t>
      </w:r>
      <w:r w:rsidR="00341D29" w:rsidRPr="00341D29">
        <w:rPr>
          <w:sz w:val="32"/>
          <w:szCs w:val="32"/>
        </w:rPr>
        <w:t xml:space="preserve">reformar diversas disposiciones de la Ley Minera y de la Ley de Coordinación Fiscal, </w:t>
      </w:r>
      <w:r w:rsidR="00DC4E16">
        <w:rPr>
          <w:sz w:val="32"/>
          <w:szCs w:val="32"/>
        </w:rPr>
        <w:t xml:space="preserve">proponiendo </w:t>
      </w:r>
      <w:r w:rsidR="00341D29" w:rsidRPr="00341D29">
        <w:rPr>
          <w:sz w:val="32"/>
          <w:szCs w:val="32"/>
        </w:rPr>
        <w:t>que las empresas</w:t>
      </w:r>
      <w:r w:rsidR="00341D29">
        <w:rPr>
          <w:sz w:val="32"/>
          <w:szCs w:val="32"/>
        </w:rPr>
        <w:t xml:space="preserve"> mineras</w:t>
      </w:r>
      <w:r w:rsidR="00D70CC9">
        <w:rPr>
          <w:sz w:val="32"/>
          <w:szCs w:val="32"/>
        </w:rPr>
        <w:t xml:space="preserve"> </w:t>
      </w:r>
      <w:r w:rsidR="00341D29">
        <w:rPr>
          <w:sz w:val="32"/>
          <w:szCs w:val="32"/>
        </w:rPr>
        <w:t xml:space="preserve">contribuyeran con </w:t>
      </w:r>
      <w:r w:rsidR="00DC4E16">
        <w:rPr>
          <w:sz w:val="32"/>
          <w:szCs w:val="32"/>
        </w:rPr>
        <w:t xml:space="preserve">un porcentaje </w:t>
      </w:r>
      <w:r w:rsidR="00341D29" w:rsidRPr="00341D29">
        <w:rPr>
          <w:sz w:val="32"/>
          <w:szCs w:val="32"/>
        </w:rPr>
        <w:t xml:space="preserve">de la utilidad neta del producto extraído, para destinarlo </w:t>
      </w:r>
      <w:r w:rsidR="00966FCC">
        <w:rPr>
          <w:sz w:val="32"/>
          <w:szCs w:val="32"/>
        </w:rPr>
        <w:t>a municipios y estados mineros.</w:t>
      </w:r>
    </w:p>
    <w:p w:rsidR="00966FCC" w:rsidRDefault="0021036B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consecuencia </w:t>
      </w:r>
      <w:r w:rsidR="00341D29" w:rsidRPr="00341D29">
        <w:rPr>
          <w:sz w:val="32"/>
          <w:szCs w:val="32"/>
        </w:rPr>
        <w:t xml:space="preserve">de esa iniciativa, el </w:t>
      </w:r>
      <w:r>
        <w:rPr>
          <w:sz w:val="32"/>
          <w:szCs w:val="32"/>
        </w:rPr>
        <w:t xml:space="preserve">Ejecutivo Federal </w:t>
      </w:r>
      <w:r w:rsidR="00341D29" w:rsidRPr="00341D29">
        <w:rPr>
          <w:sz w:val="32"/>
          <w:szCs w:val="32"/>
        </w:rPr>
        <w:t>incluyó el tema minero en la Reforma Hacendaria, tomando como referencia la iniciativa, pero modificando la Ley Federal de Derechos.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La reforma a la</w:t>
      </w:r>
      <w:r w:rsidR="003D0C6A">
        <w:rPr>
          <w:sz w:val="32"/>
          <w:szCs w:val="32"/>
        </w:rPr>
        <w:t xml:space="preserve"> Ley Federal de Derechos incluía</w:t>
      </w:r>
      <w:r>
        <w:rPr>
          <w:sz w:val="32"/>
          <w:szCs w:val="32"/>
        </w:rPr>
        <w:t xml:space="preserve"> entre otras cosas la creación del</w:t>
      </w:r>
      <w:r w:rsidR="00D70CC9">
        <w:rPr>
          <w:sz w:val="32"/>
          <w:szCs w:val="32"/>
        </w:rPr>
        <w:t xml:space="preserve"> </w:t>
      </w:r>
      <w:r w:rsidRPr="00341D29">
        <w:rPr>
          <w:sz w:val="32"/>
          <w:szCs w:val="32"/>
        </w:rPr>
        <w:t>Fondo para el Desarrollo Regional Sustentable de Estados y Municipios Mineros, mediante el establecimiento del pago de derechos especiales y extraordinarios a empresas mineras.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Desde entonces</w:t>
      </w:r>
      <w:r w:rsidR="0048292D">
        <w:rPr>
          <w:sz w:val="32"/>
          <w:szCs w:val="32"/>
        </w:rPr>
        <w:t>,</w:t>
      </w:r>
      <w:r>
        <w:rPr>
          <w:sz w:val="32"/>
          <w:szCs w:val="32"/>
        </w:rPr>
        <w:t xml:space="preserve"> en la Comisión de Minería nos dimos a la tarea de impulsar esa reforma mediante </w:t>
      </w:r>
      <w:r w:rsidRPr="00341D29">
        <w:rPr>
          <w:sz w:val="32"/>
          <w:szCs w:val="32"/>
        </w:rPr>
        <w:t xml:space="preserve">el consenso y </w:t>
      </w:r>
      <w:r>
        <w:rPr>
          <w:sz w:val="32"/>
          <w:szCs w:val="32"/>
        </w:rPr>
        <w:t>el diálogo permanente, buscando</w:t>
      </w:r>
      <w:r w:rsidR="008E00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conciliar </w:t>
      </w:r>
      <w:r w:rsidRPr="00341D29">
        <w:rPr>
          <w:sz w:val="32"/>
          <w:szCs w:val="32"/>
        </w:rPr>
        <w:t>los intereses de todas las partes involucradas.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C4062A">
        <w:rPr>
          <w:sz w:val="32"/>
          <w:szCs w:val="32"/>
        </w:rPr>
        <w:t>r</w:t>
      </w:r>
      <w:r>
        <w:rPr>
          <w:sz w:val="32"/>
          <w:szCs w:val="32"/>
        </w:rPr>
        <w:t>eforma a la Ley Federal de Derechos finalmente entró en vigor el 1 de enero del 2014.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41D29">
        <w:rPr>
          <w:sz w:val="32"/>
          <w:szCs w:val="32"/>
        </w:rPr>
        <w:t>Esa norma establece en sus artículos 268, 269 y 270 el pago de derechos especiales y extraordi</w:t>
      </w:r>
      <w:r w:rsidR="00966FCC">
        <w:rPr>
          <w:sz w:val="32"/>
          <w:szCs w:val="32"/>
        </w:rPr>
        <w:t>narios a la actividad minera...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41D29">
        <w:rPr>
          <w:sz w:val="32"/>
          <w:szCs w:val="32"/>
        </w:rPr>
        <w:t>Y en sus artículos 271 y 275 instituye el Fondo para el Desarrollo Regional Sustentable de Estados y Municipios Mineros.</w:t>
      </w:r>
    </w:p>
    <w:p w:rsidR="00966FCC" w:rsidRDefault="00A7532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Esa bolsa está integrada con 7.5 por ciento de las utilidades de</w:t>
      </w:r>
      <w:r>
        <w:rPr>
          <w:sz w:val="32"/>
          <w:szCs w:val="32"/>
        </w:rPr>
        <w:t xml:space="preserve"> las empresas mineras, más el</w:t>
      </w:r>
      <w:r w:rsidRPr="00A7532A">
        <w:rPr>
          <w:sz w:val="32"/>
          <w:szCs w:val="32"/>
        </w:rPr>
        <w:t xml:space="preserve"> 0.5 por ciento de los ingresos derivados de la extracción de oro, plata y platino.</w:t>
      </w:r>
    </w:p>
    <w:p w:rsidR="00966FCC" w:rsidRDefault="000A6386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Es importante señalar que d</w:t>
      </w:r>
      <w:r w:rsidRPr="000A6386">
        <w:rPr>
          <w:sz w:val="32"/>
          <w:szCs w:val="32"/>
        </w:rPr>
        <w:t>e acuerdo al registro estadístico de producción minera, la Secretaría de Economía determina anualmente la producción que aporta cada región</w:t>
      </w:r>
      <w:r w:rsidR="00DC13BB">
        <w:rPr>
          <w:sz w:val="32"/>
          <w:szCs w:val="32"/>
        </w:rPr>
        <w:t xml:space="preserve"> al total nacional</w:t>
      </w:r>
      <w:r w:rsidRPr="000A6386">
        <w:rPr>
          <w:sz w:val="32"/>
          <w:szCs w:val="32"/>
        </w:rPr>
        <w:t>, por entidad y municipio.</w:t>
      </w:r>
    </w:p>
    <w:p w:rsidR="00966FCC" w:rsidRDefault="00341D29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 w:rsidRPr="00341D29">
        <w:rPr>
          <w:sz w:val="32"/>
          <w:szCs w:val="32"/>
        </w:rPr>
        <w:t>Los recursos del fondo serán aplicados principalmente en obras que propicien el desarrollo sustentable y fortalezcan la infraestructura so</w:t>
      </w:r>
      <w:r w:rsidR="00A7532A">
        <w:rPr>
          <w:sz w:val="32"/>
          <w:szCs w:val="32"/>
        </w:rPr>
        <w:t>cial de los municipios.</w:t>
      </w:r>
    </w:p>
    <w:p w:rsidR="00A7532A" w:rsidRDefault="00A7532A" w:rsidP="00FE4BAB">
      <w:pPr>
        <w:keepNext/>
        <w:keepLines/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su artículo 271 la </w:t>
      </w:r>
      <w:r w:rsidRPr="00A7532A">
        <w:rPr>
          <w:sz w:val="32"/>
          <w:szCs w:val="32"/>
        </w:rPr>
        <w:t>Ley Federal de Derechos</w:t>
      </w:r>
      <w:r>
        <w:rPr>
          <w:sz w:val="32"/>
          <w:szCs w:val="32"/>
        </w:rPr>
        <w:t xml:space="preserve"> señala que los recursos deberán ser empleados en inversión física</w:t>
      </w:r>
      <w:r w:rsidR="00DC13BB">
        <w:rPr>
          <w:sz w:val="32"/>
          <w:szCs w:val="32"/>
        </w:rPr>
        <w:t>,</w:t>
      </w:r>
      <w:r>
        <w:rPr>
          <w:sz w:val="32"/>
          <w:szCs w:val="32"/>
        </w:rPr>
        <w:t xml:space="preserve"> como</w:t>
      </w:r>
      <w:r w:rsidR="00DC13BB">
        <w:rPr>
          <w:sz w:val="32"/>
          <w:szCs w:val="32"/>
        </w:rPr>
        <w:t xml:space="preserve"> las que a continuación se enumeran</w:t>
      </w:r>
      <w:r>
        <w:rPr>
          <w:sz w:val="32"/>
          <w:szCs w:val="32"/>
        </w:rPr>
        <w:t>:</w:t>
      </w:r>
    </w:p>
    <w:p w:rsidR="00A7532A" w:rsidRDefault="00A7532A" w:rsidP="00FE4BA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Construcción, remodelación y equipamiento de centros escolares.</w:t>
      </w:r>
    </w:p>
    <w:p w:rsidR="00A7532A" w:rsidRDefault="00A7532A" w:rsidP="00FE4BA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Pavimentación y mantenimiento de calles y caminos locales, así como la</w:t>
      </w:r>
      <w:r w:rsidR="008E00BA">
        <w:rPr>
          <w:sz w:val="32"/>
          <w:szCs w:val="32"/>
        </w:rPr>
        <w:t xml:space="preserve"> </w:t>
      </w:r>
      <w:r w:rsidRPr="00A7532A">
        <w:rPr>
          <w:sz w:val="32"/>
          <w:szCs w:val="32"/>
        </w:rPr>
        <w:t>instalación y mantenimiento de alumbrado público.</w:t>
      </w:r>
    </w:p>
    <w:p w:rsidR="00A7532A" w:rsidRDefault="00A7532A" w:rsidP="00FE4BA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Rellenos sanitarios, plantas de tratamiento de agua, instalación y</w:t>
      </w:r>
      <w:r w:rsidR="0049455E">
        <w:rPr>
          <w:sz w:val="32"/>
          <w:szCs w:val="32"/>
        </w:rPr>
        <w:t xml:space="preserve"> </w:t>
      </w:r>
      <w:r w:rsidRPr="00A7532A">
        <w:rPr>
          <w:sz w:val="32"/>
          <w:szCs w:val="32"/>
        </w:rPr>
        <w:t>mantenimiento de obras de drenaje público, manejo de residuos sólidos y</w:t>
      </w:r>
      <w:r>
        <w:rPr>
          <w:sz w:val="32"/>
          <w:szCs w:val="32"/>
        </w:rPr>
        <w:t xml:space="preserve"> mejora de calidad del aire.</w:t>
      </w:r>
    </w:p>
    <w:p w:rsidR="00A7532A" w:rsidRDefault="00A7532A" w:rsidP="00FE4BA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Obras que preserven áreas naturales, tales como reforestación y rescate o</w:t>
      </w:r>
      <w:r w:rsidR="008E00BA">
        <w:rPr>
          <w:sz w:val="32"/>
          <w:szCs w:val="32"/>
        </w:rPr>
        <w:t xml:space="preserve"> </w:t>
      </w:r>
      <w:bookmarkStart w:id="0" w:name="_GoBack"/>
      <w:bookmarkEnd w:id="0"/>
      <w:r w:rsidRPr="00A7532A">
        <w:rPr>
          <w:sz w:val="32"/>
          <w:szCs w:val="32"/>
        </w:rPr>
        <w:t>rehabilitación de ríos y otros cuerpos de agua.</w:t>
      </w:r>
    </w:p>
    <w:p w:rsidR="00A7532A" w:rsidRDefault="00A7532A" w:rsidP="00FE4BAB">
      <w:pPr>
        <w:pStyle w:val="Prrafodelista"/>
        <w:keepNext/>
        <w:keepLines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Obras que afecten de manera positiva la movilidad urbana, incluyendo</w:t>
      </w:r>
      <w:r w:rsidR="009B095E">
        <w:rPr>
          <w:sz w:val="32"/>
          <w:szCs w:val="32"/>
        </w:rPr>
        <w:t xml:space="preserve"> </w:t>
      </w:r>
      <w:r w:rsidRPr="00A7532A">
        <w:rPr>
          <w:sz w:val="32"/>
          <w:szCs w:val="32"/>
        </w:rPr>
        <w:t xml:space="preserve">sistemas de trenes suburbanos, </w:t>
      </w:r>
      <w:proofErr w:type="spellStart"/>
      <w:r w:rsidRPr="00A7532A">
        <w:rPr>
          <w:sz w:val="32"/>
          <w:szCs w:val="32"/>
        </w:rPr>
        <w:t>metrocable</w:t>
      </w:r>
      <w:proofErr w:type="spellEnd"/>
      <w:r w:rsidRPr="00A7532A">
        <w:rPr>
          <w:sz w:val="32"/>
          <w:szCs w:val="32"/>
        </w:rPr>
        <w:t xml:space="preserve"> de transporte o</w:t>
      </w:r>
      <w:r w:rsidR="00A804FC">
        <w:rPr>
          <w:sz w:val="32"/>
          <w:szCs w:val="32"/>
        </w:rPr>
        <w:t xml:space="preserve"> </w:t>
      </w:r>
      <w:r w:rsidRPr="00A7532A">
        <w:rPr>
          <w:sz w:val="32"/>
          <w:szCs w:val="32"/>
        </w:rPr>
        <w:t>equivalentes.</w:t>
      </w:r>
    </w:p>
    <w:p w:rsidR="00A7532A" w:rsidRPr="00A7532A" w:rsidRDefault="00A7532A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A7532A">
        <w:rPr>
          <w:sz w:val="32"/>
          <w:szCs w:val="32"/>
        </w:rPr>
        <w:t>Para aplicar los r</w:t>
      </w:r>
      <w:r w:rsidR="00F72A68">
        <w:rPr>
          <w:sz w:val="32"/>
          <w:szCs w:val="32"/>
        </w:rPr>
        <w:t>ecursos del Fondo, se debe conformar</w:t>
      </w:r>
      <w:r w:rsidRPr="00A7532A">
        <w:rPr>
          <w:sz w:val="32"/>
          <w:szCs w:val="32"/>
        </w:rPr>
        <w:t xml:space="preserve"> en cada estado un Comité de Desarrollo Regional, el cual estará integrado por:</w:t>
      </w:r>
    </w:p>
    <w:p w:rsidR="00A7532A" w:rsidRPr="00A7532A" w:rsidRDefault="004A4CEA" w:rsidP="00FE4BAB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La o el t</w:t>
      </w:r>
      <w:r w:rsidR="00A7532A" w:rsidRPr="00A7532A">
        <w:rPr>
          <w:sz w:val="32"/>
          <w:szCs w:val="32"/>
        </w:rPr>
        <w:t xml:space="preserve">itular de la </w:t>
      </w:r>
      <w:r w:rsidR="00295D75">
        <w:rPr>
          <w:sz w:val="32"/>
          <w:szCs w:val="32"/>
        </w:rPr>
        <w:t>Secretaría de Desarrollo Agrario, Territorial y Urbano (SEDATU)</w:t>
      </w:r>
      <w:r>
        <w:rPr>
          <w:sz w:val="32"/>
          <w:szCs w:val="32"/>
        </w:rPr>
        <w:t>,</w:t>
      </w:r>
    </w:p>
    <w:p w:rsidR="00A7532A" w:rsidRPr="00A7532A" w:rsidRDefault="004A4CEA" w:rsidP="00FE4BAB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r</w:t>
      </w:r>
      <w:r w:rsidR="00A7532A" w:rsidRPr="00A7532A">
        <w:rPr>
          <w:sz w:val="32"/>
          <w:szCs w:val="32"/>
        </w:rPr>
        <w:t>epresentante del Gobierno del Estado</w:t>
      </w:r>
      <w:r>
        <w:rPr>
          <w:sz w:val="32"/>
          <w:szCs w:val="32"/>
        </w:rPr>
        <w:t>,</w:t>
      </w:r>
    </w:p>
    <w:p w:rsidR="00A7532A" w:rsidRPr="00A7532A" w:rsidRDefault="004A4CEA" w:rsidP="00FE4BAB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r</w:t>
      </w:r>
      <w:r w:rsidR="00A7532A" w:rsidRPr="00A7532A">
        <w:rPr>
          <w:sz w:val="32"/>
          <w:szCs w:val="32"/>
        </w:rPr>
        <w:t>epresentante de las empresas minera</w:t>
      </w:r>
      <w:r>
        <w:rPr>
          <w:sz w:val="32"/>
          <w:szCs w:val="32"/>
        </w:rPr>
        <w:t>,</w:t>
      </w:r>
    </w:p>
    <w:p w:rsidR="00A7532A" w:rsidRPr="00A7532A" w:rsidRDefault="004A4CEA" w:rsidP="00FE4BAB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un r</w:t>
      </w:r>
      <w:r w:rsidR="00A7532A" w:rsidRPr="00A7532A">
        <w:rPr>
          <w:sz w:val="32"/>
          <w:szCs w:val="32"/>
        </w:rPr>
        <w:t xml:space="preserve">epresentante de comunidades </w:t>
      </w:r>
      <w:r w:rsidR="000A6386">
        <w:rPr>
          <w:sz w:val="32"/>
          <w:szCs w:val="32"/>
        </w:rPr>
        <w:t>indígenas o núcleos agrario</w:t>
      </w:r>
      <w:r w:rsidR="00A7532A" w:rsidRPr="00A7532A">
        <w:rPr>
          <w:sz w:val="32"/>
          <w:szCs w:val="32"/>
        </w:rPr>
        <w:t>s</w:t>
      </w:r>
      <w:r>
        <w:rPr>
          <w:sz w:val="32"/>
          <w:szCs w:val="32"/>
        </w:rPr>
        <w:t xml:space="preserve"> y</w:t>
      </w:r>
    </w:p>
    <w:p w:rsidR="000A6386" w:rsidRDefault="004A4CEA" w:rsidP="00FE4BAB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un r</w:t>
      </w:r>
      <w:r w:rsidR="00A7532A" w:rsidRPr="00A7532A">
        <w:rPr>
          <w:sz w:val="32"/>
          <w:szCs w:val="32"/>
        </w:rPr>
        <w:t>epresentante del municipio</w:t>
      </w:r>
      <w:r w:rsidR="000A6386">
        <w:rPr>
          <w:sz w:val="32"/>
          <w:szCs w:val="32"/>
        </w:rPr>
        <w:t>.</w:t>
      </w:r>
    </w:p>
    <w:p w:rsidR="00923809" w:rsidRPr="00923809" w:rsidRDefault="00923809" w:rsidP="00923809">
      <w:pPr>
        <w:pStyle w:val="Prrafodelista"/>
        <w:keepNext/>
        <w:keepLines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</w:t>
      </w:r>
      <w:r w:rsidRPr="00923809">
        <w:rPr>
          <w:sz w:val="32"/>
          <w:szCs w:val="32"/>
        </w:rPr>
        <w:t xml:space="preserve">n </w:t>
      </w:r>
      <w:r w:rsidR="00A804FC">
        <w:rPr>
          <w:sz w:val="32"/>
          <w:szCs w:val="32"/>
        </w:rPr>
        <w:t>s</w:t>
      </w:r>
      <w:r w:rsidRPr="00923809">
        <w:rPr>
          <w:sz w:val="32"/>
          <w:szCs w:val="32"/>
        </w:rPr>
        <w:t>ecretario de Actas, nombrado por SEDATU</w:t>
      </w:r>
    </w:p>
    <w:p w:rsidR="000A6386" w:rsidRDefault="000A6386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0A6386">
        <w:rPr>
          <w:sz w:val="32"/>
          <w:szCs w:val="32"/>
        </w:rPr>
        <w:t>En síntesis, el total de los recursos provenientes de los nuevos derechos se distribuirá de la siguiente manera:</w:t>
      </w:r>
    </w:p>
    <w:p w:rsidR="000A6386" w:rsidRDefault="000A6386" w:rsidP="00FE4BAB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A6386">
        <w:rPr>
          <w:sz w:val="32"/>
          <w:szCs w:val="32"/>
        </w:rPr>
        <w:t>50 por ciento para los municipios</w:t>
      </w:r>
    </w:p>
    <w:p w:rsidR="000A6386" w:rsidRDefault="000A6386" w:rsidP="00FE4BAB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A6386">
        <w:rPr>
          <w:sz w:val="32"/>
          <w:szCs w:val="32"/>
        </w:rPr>
        <w:t>30 por ciento para las entidades federativas</w:t>
      </w:r>
      <w:r w:rsidR="0043270F">
        <w:rPr>
          <w:sz w:val="32"/>
          <w:szCs w:val="32"/>
        </w:rPr>
        <w:t xml:space="preserve"> con actividad minera</w:t>
      </w:r>
      <w:r w:rsidRPr="000A6386">
        <w:rPr>
          <w:sz w:val="32"/>
          <w:szCs w:val="32"/>
        </w:rPr>
        <w:t>, y</w:t>
      </w:r>
    </w:p>
    <w:p w:rsidR="00966FCC" w:rsidRDefault="000A6386" w:rsidP="00FE4BAB">
      <w:pPr>
        <w:pStyle w:val="Prrafodelista"/>
        <w:keepNext/>
        <w:keepLines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0A6386">
        <w:rPr>
          <w:sz w:val="32"/>
          <w:szCs w:val="32"/>
        </w:rPr>
        <w:t>20 por ciento para la Federación.</w:t>
      </w:r>
    </w:p>
    <w:p w:rsidR="002164BB" w:rsidRDefault="00341D29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966FCC">
        <w:rPr>
          <w:sz w:val="32"/>
          <w:szCs w:val="32"/>
        </w:rPr>
        <w:t xml:space="preserve">Cabe destacar que, gracias a la creación del Fondo Minero, 25 estados y 199 municipios del país que se dedican a esta actividad </w:t>
      </w:r>
      <w:r w:rsidR="002164BB">
        <w:rPr>
          <w:sz w:val="32"/>
          <w:szCs w:val="32"/>
        </w:rPr>
        <w:t>(</w:t>
      </w:r>
      <w:r w:rsidR="0043270F">
        <w:rPr>
          <w:sz w:val="32"/>
          <w:szCs w:val="32"/>
        </w:rPr>
        <w:t>metálica y no metálica</w:t>
      </w:r>
      <w:r w:rsidR="002164BB">
        <w:rPr>
          <w:sz w:val="32"/>
          <w:szCs w:val="32"/>
        </w:rPr>
        <w:t xml:space="preserve">) fueron </w:t>
      </w:r>
      <w:r w:rsidRPr="00966FCC">
        <w:rPr>
          <w:sz w:val="32"/>
          <w:szCs w:val="32"/>
        </w:rPr>
        <w:t xml:space="preserve">beneficiados con </w:t>
      </w:r>
      <w:r w:rsidR="000A6386" w:rsidRPr="00966FCC">
        <w:rPr>
          <w:sz w:val="32"/>
          <w:szCs w:val="32"/>
        </w:rPr>
        <w:t xml:space="preserve">una bolsa </w:t>
      </w:r>
      <w:r w:rsidRPr="00966FCC">
        <w:rPr>
          <w:sz w:val="32"/>
          <w:szCs w:val="32"/>
        </w:rPr>
        <w:t>de más de 2 mil millones de pesos.</w:t>
      </w:r>
    </w:p>
    <w:p w:rsidR="002164BB" w:rsidRDefault="002164BB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La entrega de estos recursos comenzó en enero de 2016 en Zacatecas, con base en el cálculo de las utilidades que las empresas mineras registraron en el año fiscal 2014.</w:t>
      </w:r>
    </w:p>
    <w:p w:rsidR="000A6386" w:rsidRDefault="000A6386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Zacatecas </w:t>
      </w:r>
      <w:r w:rsidR="002164BB">
        <w:rPr>
          <w:sz w:val="32"/>
          <w:szCs w:val="32"/>
        </w:rPr>
        <w:t xml:space="preserve">fue </w:t>
      </w:r>
      <w:r>
        <w:rPr>
          <w:sz w:val="32"/>
          <w:szCs w:val="32"/>
        </w:rPr>
        <w:t xml:space="preserve">la primera entidad beneficiada </w:t>
      </w:r>
      <w:r w:rsidR="002164BB">
        <w:rPr>
          <w:sz w:val="32"/>
          <w:szCs w:val="32"/>
        </w:rPr>
        <w:t xml:space="preserve">con </w:t>
      </w:r>
      <w:r w:rsidRPr="000A6386">
        <w:rPr>
          <w:sz w:val="32"/>
          <w:szCs w:val="32"/>
        </w:rPr>
        <w:t>un monto total de 444 millones 660 mil pesos.</w:t>
      </w:r>
    </w:p>
    <w:p w:rsidR="002164BB" w:rsidRDefault="002164BB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Por monto de mayor a menor, la distribución de los recursos a los 24 estados restantes, quedó de la siguiente manera:</w:t>
      </w:r>
    </w:p>
    <w:p w:rsidR="002164BB" w:rsidRDefault="009815E5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Sonora, 607 millones 135 mil pesos; Chihuahua, 241 millones 111 mil; </w:t>
      </w:r>
      <w:r w:rsidR="00071E1A">
        <w:rPr>
          <w:sz w:val="32"/>
          <w:szCs w:val="32"/>
        </w:rPr>
        <w:t xml:space="preserve">Durango, 154 millones 279 mil; Coahuila, 126 millones 871 mil; Michoacán, 73 millones 952 mil; San Luis Potosí, 73 millones 884 mil; Guerrero, 60 millones 928 mil; Sinaloa, 44 millones 387 mil; México, 37 millones 698 mil; Baja California Sur, 33 millones 111 mil; Oaxaca, 31 millones 749 mil; </w:t>
      </w:r>
      <w:r w:rsidR="003B2B3C">
        <w:rPr>
          <w:sz w:val="32"/>
          <w:szCs w:val="32"/>
        </w:rPr>
        <w:t>Colima, 29 millones 843 mil; Jalisco, 25 millones 931 mil; Guanajuato, 22 millones 117 mil; Aguascalientes, 18 millones 129 mil; Hidalgo, 15 millones 188 mil</w:t>
      </w:r>
      <w:r w:rsidR="007E1C9A">
        <w:rPr>
          <w:sz w:val="32"/>
          <w:szCs w:val="32"/>
        </w:rPr>
        <w:t>; Querétaro, 12 millones 394 mil; Baja California, 11 millones 468 mil; Veracruz, 7 millones 714 mil; Nuevo León, 4 millones 282 mil; Nayarit, 1 millón 521 mil; Puebla, 723 mil 821; Yucatán, 342 mil 723; y Tamaulipas, 59 mil 146.</w:t>
      </w:r>
    </w:p>
    <w:p w:rsidR="000A6386" w:rsidRDefault="000A6386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Actualmente todos los Comités de Desarrollo Regional</w:t>
      </w:r>
      <w:r w:rsidR="00D075A7">
        <w:rPr>
          <w:sz w:val="32"/>
          <w:szCs w:val="32"/>
        </w:rPr>
        <w:t xml:space="preserve"> en el país</w:t>
      </w:r>
      <w:r>
        <w:rPr>
          <w:sz w:val="32"/>
          <w:szCs w:val="32"/>
        </w:rPr>
        <w:t xml:space="preserve"> han sido instalados</w:t>
      </w:r>
      <w:r w:rsidR="009775F8">
        <w:rPr>
          <w:sz w:val="32"/>
          <w:szCs w:val="32"/>
        </w:rPr>
        <w:t xml:space="preserve"> y están próximos a recibir la primera ministración de los recursos del fondo</w:t>
      </w:r>
      <w:r>
        <w:rPr>
          <w:sz w:val="32"/>
          <w:szCs w:val="32"/>
        </w:rPr>
        <w:t>.</w:t>
      </w:r>
    </w:p>
    <w:p w:rsidR="00D23542" w:rsidRPr="00295D75" w:rsidRDefault="00295D75" w:rsidP="00FE4BAB">
      <w:pPr>
        <w:keepNext/>
        <w:keepLines/>
        <w:spacing w:line="360" w:lineRule="auto"/>
        <w:jc w:val="both"/>
        <w:rPr>
          <w:b/>
          <w:sz w:val="32"/>
          <w:szCs w:val="32"/>
        </w:rPr>
      </w:pPr>
      <w:r w:rsidRPr="00295D75">
        <w:rPr>
          <w:b/>
          <w:sz w:val="32"/>
          <w:szCs w:val="32"/>
        </w:rPr>
        <w:t>Conclusiones</w:t>
      </w:r>
    </w:p>
    <w:p w:rsidR="000A6386" w:rsidRDefault="000A6386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0A6386">
        <w:rPr>
          <w:sz w:val="32"/>
          <w:szCs w:val="32"/>
        </w:rPr>
        <w:t xml:space="preserve">México tiene </w:t>
      </w:r>
      <w:r>
        <w:rPr>
          <w:sz w:val="32"/>
          <w:szCs w:val="32"/>
        </w:rPr>
        <w:t xml:space="preserve">hoy </w:t>
      </w:r>
      <w:r w:rsidRPr="000A6386">
        <w:rPr>
          <w:sz w:val="32"/>
          <w:szCs w:val="32"/>
        </w:rPr>
        <w:t>la invaluable oportunidad de convertir su riqueza minera en un activo que mejore los índices de desarrollo humano</w:t>
      </w:r>
      <w:r w:rsidR="00D075A7">
        <w:rPr>
          <w:sz w:val="32"/>
          <w:szCs w:val="32"/>
        </w:rPr>
        <w:t xml:space="preserve"> y social</w:t>
      </w:r>
      <w:r w:rsidRPr="000A6386">
        <w:rPr>
          <w:sz w:val="32"/>
          <w:szCs w:val="32"/>
        </w:rPr>
        <w:t xml:space="preserve"> de sus </w:t>
      </w:r>
      <w:r w:rsidR="00295D75">
        <w:rPr>
          <w:sz w:val="32"/>
          <w:szCs w:val="32"/>
        </w:rPr>
        <w:t xml:space="preserve">estados y </w:t>
      </w:r>
      <w:r w:rsidRPr="000A6386">
        <w:rPr>
          <w:sz w:val="32"/>
          <w:szCs w:val="32"/>
        </w:rPr>
        <w:t>municipios</w:t>
      </w:r>
      <w:r>
        <w:rPr>
          <w:sz w:val="32"/>
          <w:szCs w:val="32"/>
        </w:rPr>
        <w:t xml:space="preserve">, a la vez que impulse el </w:t>
      </w:r>
      <w:r w:rsidR="00F71AAF">
        <w:rPr>
          <w:sz w:val="32"/>
          <w:szCs w:val="32"/>
        </w:rPr>
        <w:t xml:space="preserve">desarrollo del </w:t>
      </w:r>
      <w:r w:rsidRPr="000A6386">
        <w:rPr>
          <w:sz w:val="32"/>
          <w:szCs w:val="32"/>
        </w:rPr>
        <w:t>sector.</w:t>
      </w:r>
    </w:p>
    <w:p w:rsidR="00F71AAF" w:rsidRDefault="00F71AAF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Con esa perspectiva, la acción de la Comisión de Minería se ha orientado a propiciar el desarrollo</w:t>
      </w:r>
      <w:r w:rsidR="002276BD">
        <w:rPr>
          <w:sz w:val="32"/>
          <w:szCs w:val="32"/>
        </w:rPr>
        <w:t xml:space="preserve"> económico y</w:t>
      </w:r>
      <w:r>
        <w:rPr>
          <w:sz w:val="32"/>
          <w:szCs w:val="32"/>
        </w:rPr>
        <w:t xml:space="preserve"> social de las zonas de extracción.</w:t>
      </w:r>
    </w:p>
    <w:p w:rsidR="00AD4269" w:rsidRDefault="00F71AAF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Desde su origen, la Comisión de Minería trabaj</w:t>
      </w:r>
      <w:r w:rsidR="006351F4">
        <w:rPr>
          <w:sz w:val="32"/>
          <w:szCs w:val="32"/>
        </w:rPr>
        <w:t>ó</w:t>
      </w:r>
      <w:r>
        <w:rPr>
          <w:sz w:val="32"/>
          <w:szCs w:val="32"/>
        </w:rPr>
        <w:t xml:space="preserve"> con base en la búsqueda continua de consensos.</w:t>
      </w:r>
    </w:p>
    <w:p w:rsidR="00F71AAF" w:rsidRDefault="00AD4269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La creación misma de este órgano fue resultado de deliberaciones que confirmaron la necesidad de su formación y la trascendencia de sus propósitos.</w:t>
      </w:r>
    </w:p>
    <w:p w:rsidR="00AD4269" w:rsidRDefault="0061216B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delimitación de sus estrategias y líneas de acción </w:t>
      </w:r>
      <w:r w:rsidR="003E0B61">
        <w:rPr>
          <w:sz w:val="32"/>
          <w:szCs w:val="32"/>
        </w:rPr>
        <w:t>fue producto de aportaciones y debates provenientes de los 32 estados, principalmente de los concernidos.</w:t>
      </w:r>
    </w:p>
    <w:p w:rsidR="003C6C9C" w:rsidRDefault="000E5645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estos debates se observó la urgencia de armonizar </w:t>
      </w:r>
      <w:r w:rsidR="00764936">
        <w:rPr>
          <w:sz w:val="32"/>
          <w:szCs w:val="32"/>
        </w:rPr>
        <w:t xml:space="preserve">la inquietud de </w:t>
      </w:r>
      <w:proofErr w:type="spellStart"/>
      <w:r w:rsidR="00764936">
        <w:rPr>
          <w:sz w:val="32"/>
          <w:szCs w:val="32"/>
        </w:rPr>
        <w:t>Conago</w:t>
      </w:r>
      <w:proofErr w:type="spellEnd"/>
      <w:r w:rsidR="00764936">
        <w:rPr>
          <w:sz w:val="32"/>
          <w:szCs w:val="32"/>
        </w:rPr>
        <w:t xml:space="preserve"> con iniciativas de ley generadas en los poderes Legislativo y Ejecutivo.</w:t>
      </w:r>
      <w:r w:rsidR="00E415A8">
        <w:rPr>
          <w:sz w:val="32"/>
          <w:szCs w:val="32"/>
        </w:rPr>
        <w:t xml:space="preserve"> D</w:t>
      </w:r>
      <w:r w:rsidR="00234331">
        <w:rPr>
          <w:sz w:val="32"/>
          <w:szCs w:val="32"/>
        </w:rPr>
        <w:t xml:space="preserve">esde entonces, la Comisión de Minería se convirtió en impulsora incansable de </w:t>
      </w:r>
      <w:r w:rsidR="00231F58">
        <w:rPr>
          <w:sz w:val="32"/>
          <w:szCs w:val="32"/>
        </w:rPr>
        <w:t>la norma que hoy trae beneficios a las regiones mineras.</w:t>
      </w:r>
    </w:p>
    <w:p w:rsidR="00857D9A" w:rsidRDefault="00231F58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Desde </w:t>
      </w:r>
      <w:proofErr w:type="spellStart"/>
      <w:r>
        <w:rPr>
          <w:sz w:val="32"/>
          <w:szCs w:val="32"/>
        </w:rPr>
        <w:t>Conago</w:t>
      </w:r>
      <w:proofErr w:type="spellEnd"/>
      <w:r>
        <w:rPr>
          <w:sz w:val="32"/>
          <w:szCs w:val="32"/>
        </w:rPr>
        <w:t xml:space="preserve"> alzamos la voz para que las partes involucradas en el proceso legislativo incluyeran reformas encaminadas a satisfacer los objetivos que dieron origen a la Comisión de Minería.</w:t>
      </w:r>
    </w:p>
    <w:p w:rsidR="008B2278" w:rsidRDefault="008B2278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La reforma a la Ley de Derechos y el mandato de creación del Fondo Minero y sus comités regionales de desarrollo conservaron el espíritu de pluralidad y consenso.</w:t>
      </w:r>
    </w:p>
    <w:p w:rsidR="00231F58" w:rsidRDefault="0016244C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la etapa de ejecución de la ley y de operación del Fondo Minero, también </w:t>
      </w:r>
      <w:r w:rsidR="00C91201">
        <w:rPr>
          <w:sz w:val="32"/>
          <w:szCs w:val="32"/>
        </w:rPr>
        <w:t xml:space="preserve">se ha reflejado </w:t>
      </w:r>
      <w:r w:rsidR="00EC5975">
        <w:rPr>
          <w:sz w:val="32"/>
          <w:szCs w:val="32"/>
        </w:rPr>
        <w:t>la participación abierta y la voluntad de comunidades, empresas y de los tres niveles de gobierno, en la configuración de los proyectos de inversión.</w:t>
      </w:r>
    </w:p>
    <w:p w:rsidR="00FB482E" w:rsidRDefault="000A6386" w:rsidP="00FE4BAB">
      <w:pPr>
        <w:keepNext/>
        <w:keepLines/>
        <w:spacing w:line="360" w:lineRule="auto"/>
        <w:ind w:firstLine="360"/>
        <w:jc w:val="both"/>
        <w:rPr>
          <w:sz w:val="32"/>
          <w:szCs w:val="32"/>
        </w:rPr>
      </w:pPr>
      <w:r w:rsidRPr="000A6386">
        <w:rPr>
          <w:sz w:val="32"/>
          <w:szCs w:val="32"/>
        </w:rPr>
        <w:lastRenderedPageBreak/>
        <w:t>El Fondo Minero es un ejemplo de cómo se pueden ejecutar proyectos en nuestra República</w:t>
      </w:r>
      <w:r w:rsidR="00EC5975">
        <w:rPr>
          <w:sz w:val="32"/>
          <w:szCs w:val="32"/>
        </w:rPr>
        <w:t>,</w:t>
      </w:r>
      <w:r w:rsidRPr="000A6386">
        <w:rPr>
          <w:sz w:val="32"/>
          <w:szCs w:val="32"/>
        </w:rPr>
        <w:t xml:space="preserve"> en los que todas las partes trabajan bajo consenso, de manera coordinada y con orientación a un objetivo común: elevar la calidad </w:t>
      </w:r>
      <w:r>
        <w:rPr>
          <w:sz w:val="32"/>
          <w:szCs w:val="32"/>
        </w:rPr>
        <w:t xml:space="preserve">de vida </w:t>
      </w:r>
      <w:r w:rsidR="00435DEE">
        <w:rPr>
          <w:sz w:val="32"/>
          <w:szCs w:val="32"/>
        </w:rPr>
        <w:t>d</w:t>
      </w:r>
      <w:r w:rsidRPr="000A6386">
        <w:rPr>
          <w:sz w:val="32"/>
          <w:szCs w:val="32"/>
        </w:rPr>
        <w:t>el pueblo de México.</w:t>
      </w:r>
    </w:p>
    <w:p w:rsidR="0021036B" w:rsidRPr="00EF2D9F" w:rsidRDefault="0021036B" w:rsidP="00FE4BAB">
      <w:pPr>
        <w:keepNext/>
        <w:keepLines/>
        <w:spacing w:line="360" w:lineRule="auto"/>
        <w:jc w:val="both"/>
        <w:rPr>
          <w:sz w:val="32"/>
          <w:szCs w:val="32"/>
        </w:rPr>
      </w:pPr>
    </w:p>
    <w:sectPr w:rsidR="0021036B" w:rsidRPr="00EF2D9F" w:rsidSect="00FE4BAB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5D5" w:rsidRDefault="003D55D5" w:rsidP="00D3031E">
      <w:pPr>
        <w:spacing w:after="0" w:line="240" w:lineRule="auto"/>
      </w:pPr>
      <w:r>
        <w:separator/>
      </w:r>
    </w:p>
  </w:endnote>
  <w:endnote w:type="continuationSeparator" w:id="0">
    <w:p w:rsidR="003D55D5" w:rsidRDefault="003D55D5" w:rsidP="00D3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573347"/>
      <w:docPartObj>
        <w:docPartGallery w:val="Page Numbers (Bottom of Page)"/>
        <w:docPartUnique/>
      </w:docPartObj>
    </w:sdtPr>
    <w:sdtEndPr/>
    <w:sdtContent>
      <w:p w:rsidR="00BA1819" w:rsidRDefault="00642F94">
        <w:pPr>
          <w:pStyle w:val="Piedepgina"/>
          <w:jc w:val="right"/>
        </w:pPr>
        <w:r>
          <w:fldChar w:fldCharType="begin"/>
        </w:r>
        <w:r w:rsidR="00064784">
          <w:instrText>PAGE   \* MERGEFORMAT</w:instrText>
        </w:r>
        <w:r>
          <w:fldChar w:fldCharType="separate"/>
        </w:r>
        <w:r w:rsidR="008E00BA" w:rsidRPr="008E00BA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:rsidR="00BA1819" w:rsidRDefault="00BA1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D5" w:rsidRDefault="003D55D5" w:rsidP="00D3031E">
      <w:pPr>
        <w:spacing w:after="0" w:line="240" w:lineRule="auto"/>
      </w:pPr>
      <w:r>
        <w:separator/>
      </w:r>
    </w:p>
  </w:footnote>
  <w:footnote w:type="continuationSeparator" w:id="0">
    <w:p w:rsidR="003D55D5" w:rsidRDefault="003D55D5" w:rsidP="00D3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902"/>
    <w:multiLevelType w:val="multilevel"/>
    <w:tmpl w:val="39A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B066F"/>
    <w:multiLevelType w:val="hybridMultilevel"/>
    <w:tmpl w:val="F1A25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4467"/>
    <w:multiLevelType w:val="hybridMultilevel"/>
    <w:tmpl w:val="C6901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2A3F"/>
    <w:multiLevelType w:val="hybridMultilevel"/>
    <w:tmpl w:val="19680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500CE"/>
    <w:multiLevelType w:val="hybridMultilevel"/>
    <w:tmpl w:val="B31CD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519B"/>
    <w:multiLevelType w:val="hybridMultilevel"/>
    <w:tmpl w:val="F1E20686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5"/>
    <w:rsid w:val="00033997"/>
    <w:rsid w:val="00045C71"/>
    <w:rsid w:val="00051FD4"/>
    <w:rsid w:val="0006389F"/>
    <w:rsid w:val="00064784"/>
    <w:rsid w:val="00071E1A"/>
    <w:rsid w:val="00080728"/>
    <w:rsid w:val="00092066"/>
    <w:rsid w:val="000A0A11"/>
    <w:rsid w:val="000A6386"/>
    <w:rsid w:val="000A7EB6"/>
    <w:rsid w:val="000C7C9F"/>
    <w:rsid w:val="000E0061"/>
    <w:rsid w:val="000E5645"/>
    <w:rsid w:val="000E75E9"/>
    <w:rsid w:val="000F76F5"/>
    <w:rsid w:val="00115A41"/>
    <w:rsid w:val="00127898"/>
    <w:rsid w:val="0015058F"/>
    <w:rsid w:val="0016244C"/>
    <w:rsid w:val="00162841"/>
    <w:rsid w:val="001716E9"/>
    <w:rsid w:val="00172203"/>
    <w:rsid w:val="0017584C"/>
    <w:rsid w:val="00180FFB"/>
    <w:rsid w:val="00186714"/>
    <w:rsid w:val="001A233F"/>
    <w:rsid w:val="001A5113"/>
    <w:rsid w:val="001B30EA"/>
    <w:rsid w:val="001B4838"/>
    <w:rsid w:val="001E07FD"/>
    <w:rsid w:val="001E41F1"/>
    <w:rsid w:val="0021016F"/>
    <w:rsid w:val="0021036B"/>
    <w:rsid w:val="002164BB"/>
    <w:rsid w:val="00223A4E"/>
    <w:rsid w:val="002276BD"/>
    <w:rsid w:val="00231F58"/>
    <w:rsid w:val="00233B81"/>
    <w:rsid w:val="00234331"/>
    <w:rsid w:val="0024198E"/>
    <w:rsid w:val="002438F4"/>
    <w:rsid w:val="002508C3"/>
    <w:rsid w:val="00253597"/>
    <w:rsid w:val="002547A2"/>
    <w:rsid w:val="00255ACF"/>
    <w:rsid w:val="0027421C"/>
    <w:rsid w:val="00276B29"/>
    <w:rsid w:val="00293746"/>
    <w:rsid w:val="00295D75"/>
    <w:rsid w:val="00297609"/>
    <w:rsid w:val="002A5AF1"/>
    <w:rsid w:val="002F57C4"/>
    <w:rsid w:val="00320205"/>
    <w:rsid w:val="0032242C"/>
    <w:rsid w:val="003238F2"/>
    <w:rsid w:val="0033120F"/>
    <w:rsid w:val="00336367"/>
    <w:rsid w:val="00341D29"/>
    <w:rsid w:val="00352AFF"/>
    <w:rsid w:val="00353C31"/>
    <w:rsid w:val="003B2B3C"/>
    <w:rsid w:val="003C6C9C"/>
    <w:rsid w:val="003D0C6A"/>
    <w:rsid w:val="003D55D5"/>
    <w:rsid w:val="003D674E"/>
    <w:rsid w:val="003E0B61"/>
    <w:rsid w:val="004201B8"/>
    <w:rsid w:val="0043270F"/>
    <w:rsid w:val="00435597"/>
    <w:rsid w:val="00435DEE"/>
    <w:rsid w:val="0045784A"/>
    <w:rsid w:val="004623AC"/>
    <w:rsid w:val="0048292D"/>
    <w:rsid w:val="004877FE"/>
    <w:rsid w:val="004922FA"/>
    <w:rsid w:val="0049273C"/>
    <w:rsid w:val="0049455E"/>
    <w:rsid w:val="004A174C"/>
    <w:rsid w:val="004A4CEA"/>
    <w:rsid w:val="004B218E"/>
    <w:rsid w:val="004D40B8"/>
    <w:rsid w:val="00513332"/>
    <w:rsid w:val="00531069"/>
    <w:rsid w:val="00540418"/>
    <w:rsid w:val="005471E5"/>
    <w:rsid w:val="00547779"/>
    <w:rsid w:val="00554E6B"/>
    <w:rsid w:val="0058050A"/>
    <w:rsid w:val="00591F16"/>
    <w:rsid w:val="005943F7"/>
    <w:rsid w:val="005B059E"/>
    <w:rsid w:val="005B2347"/>
    <w:rsid w:val="005D4D87"/>
    <w:rsid w:val="005D71B2"/>
    <w:rsid w:val="005E0F98"/>
    <w:rsid w:val="005E2EE3"/>
    <w:rsid w:val="00601A94"/>
    <w:rsid w:val="0060231B"/>
    <w:rsid w:val="0061216B"/>
    <w:rsid w:val="006351F4"/>
    <w:rsid w:val="00642F94"/>
    <w:rsid w:val="00661E0B"/>
    <w:rsid w:val="006D4E13"/>
    <w:rsid w:val="00703B35"/>
    <w:rsid w:val="00707198"/>
    <w:rsid w:val="00715B6E"/>
    <w:rsid w:val="00733296"/>
    <w:rsid w:val="00761C59"/>
    <w:rsid w:val="00764936"/>
    <w:rsid w:val="00782D42"/>
    <w:rsid w:val="007847D4"/>
    <w:rsid w:val="00790725"/>
    <w:rsid w:val="007E1C9A"/>
    <w:rsid w:val="007F22D1"/>
    <w:rsid w:val="00810371"/>
    <w:rsid w:val="00811232"/>
    <w:rsid w:val="00817373"/>
    <w:rsid w:val="008454B7"/>
    <w:rsid w:val="00854478"/>
    <w:rsid w:val="00857D9A"/>
    <w:rsid w:val="00860662"/>
    <w:rsid w:val="00860B11"/>
    <w:rsid w:val="00863C4B"/>
    <w:rsid w:val="0088483D"/>
    <w:rsid w:val="008A3B21"/>
    <w:rsid w:val="008A42D9"/>
    <w:rsid w:val="008A61CA"/>
    <w:rsid w:val="008B09E3"/>
    <w:rsid w:val="008B2278"/>
    <w:rsid w:val="008B567B"/>
    <w:rsid w:val="008B5C66"/>
    <w:rsid w:val="008C048B"/>
    <w:rsid w:val="008E00BA"/>
    <w:rsid w:val="0090179A"/>
    <w:rsid w:val="00903D4C"/>
    <w:rsid w:val="009071CB"/>
    <w:rsid w:val="00907431"/>
    <w:rsid w:val="00921FB3"/>
    <w:rsid w:val="00923809"/>
    <w:rsid w:val="009261EA"/>
    <w:rsid w:val="0094108D"/>
    <w:rsid w:val="00951803"/>
    <w:rsid w:val="009606B5"/>
    <w:rsid w:val="00966FCC"/>
    <w:rsid w:val="00971D11"/>
    <w:rsid w:val="0097691C"/>
    <w:rsid w:val="00977291"/>
    <w:rsid w:val="009775F8"/>
    <w:rsid w:val="009815E5"/>
    <w:rsid w:val="009826A8"/>
    <w:rsid w:val="00992E27"/>
    <w:rsid w:val="00995DC6"/>
    <w:rsid w:val="009A0536"/>
    <w:rsid w:val="009A7858"/>
    <w:rsid w:val="009B095E"/>
    <w:rsid w:val="009D310A"/>
    <w:rsid w:val="009D635B"/>
    <w:rsid w:val="009E1EFC"/>
    <w:rsid w:val="009E2337"/>
    <w:rsid w:val="009F2D28"/>
    <w:rsid w:val="00A179F7"/>
    <w:rsid w:val="00A2539F"/>
    <w:rsid w:val="00A53790"/>
    <w:rsid w:val="00A54A9C"/>
    <w:rsid w:val="00A71638"/>
    <w:rsid w:val="00A7188C"/>
    <w:rsid w:val="00A75077"/>
    <w:rsid w:val="00A7532A"/>
    <w:rsid w:val="00A804FC"/>
    <w:rsid w:val="00A97DBE"/>
    <w:rsid w:val="00AB05E5"/>
    <w:rsid w:val="00AC1818"/>
    <w:rsid w:val="00AC7CC7"/>
    <w:rsid w:val="00AD4269"/>
    <w:rsid w:val="00AF2767"/>
    <w:rsid w:val="00B17137"/>
    <w:rsid w:val="00B20B1D"/>
    <w:rsid w:val="00B21CD7"/>
    <w:rsid w:val="00B26516"/>
    <w:rsid w:val="00B435B9"/>
    <w:rsid w:val="00B45C40"/>
    <w:rsid w:val="00B65B53"/>
    <w:rsid w:val="00B70314"/>
    <w:rsid w:val="00B87E57"/>
    <w:rsid w:val="00BA1819"/>
    <w:rsid w:val="00BA6269"/>
    <w:rsid w:val="00BC6CF5"/>
    <w:rsid w:val="00BD1650"/>
    <w:rsid w:val="00BF7244"/>
    <w:rsid w:val="00C2153A"/>
    <w:rsid w:val="00C4062A"/>
    <w:rsid w:val="00C8356A"/>
    <w:rsid w:val="00C909BA"/>
    <w:rsid w:val="00C91201"/>
    <w:rsid w:val="00CA2F81"/>
    <w:rsid w:val="00CB6CB6"/>
    <w:rsid w:val="00CD491C"/>
    <w:rsid w:val="00CE701E"/>
    <w:rsid w:val="00CF1676"/>
    <w:rsid w:val="00D06412"/>
    <w:rsid w:val="00D075A7"/>
    <w:rsid w:val="00D10B6C"/>
    <w:rsid w:val="00D1528D"/>
    <w:rsid w:val="00D1545D"/>
    <w:rsid w:val="00D23542"/>
    <w:rsid w:val="00D24316"/>
    <w:rsid w:val="00D3031E"/>
    <w:rsid w:val="00D51405"/>
    <w:rsid w:val="00D55601"/>
    <w:rsid w:val="00D70CC9"/>
    <w:rsid w:val="00D809AB"/>
    <w:rsid w:val="00D9713E"/>
    <w:rsid w:val="00D97E5F"/>
    <w:rsid w:val="00DA7C15"/>
    <w:rsid w:val="00DB3A62"/>
    <w:rsid w:val="00DC13BB"/>
    <w:rsid w:val="00DC4E16"/>
    <w:rsid w:val="00DD2638"/>
    <w:rsid w:val="00DD268D"/>
    <w:rsid w:val="00DD2B4B"/>
    <w:rsid w:val="00DF4196"/>
    <w:rsid w:val="00DF4AF0"/>
    <w:rsid w:val="00E05B51"/>
    <w:rsid w:val="00E06202"/>
    <w:rsid w:val="00E27A0D"/>
    <w:rsid w:val="00E31B89"/>
    <w:rsid w:val="00E37CC4"/>
    <w:rsid w:val="00E415A8"/>
    <w:rsid w:val="00E42D27"/>
    <w:rsid w:val="00E5698F"/>
    <w:rsid w:val="00E61BF8"/>
    <w:rsid w:val="00E63C08"/>
    <w:rsid w:val="00E64627"/>
    <w:rsid w:val="00E74C50"/>
    <w:rsid w:val="00E80BE7"/>
    <w:rsid w:val="00E9211C"/>
    <w:rsid w:val="00E926D9"/>
    <w:rsid w:val="00E932CF"/>
    <w:rsid w:val="00EC2199"/>
    <w:rsid w:val="00EC5975"/>
    <w:rsid w:val="00ED5A25"/>
    <w:rsid w:val="00EF2D9F"/>
    <w:rsid w:val="00F24E5A"/>
    <w:rsid w:val="00F326F0"/>
    <w:rsid w:val="00F37D8F"/>
    <w:rsid w:val="00F44E37"/>
    <w:rsid w:val="00F5172C"/>
    <w:rsid w:val="00F62034"/>
    <w:rsid w:val="00F71AAF"/>
    <w:rsid w:val="00F72A68"/>
    <w:rsid w:val="00F7616C"/>
    <w:rsid w:val="00F87CF5"/>
    <w:rsid w:val="00FB482E"/>
    <w:rsid w:val="00FB5CB7"/>
    <w:rsid w:val="00FE3E1E"/>
    <w:rsid w:val="00FE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17F96-C834-454C-AF84-AEB8D2CA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2D9F"/>
    <w:pPr>
      <w:ind w:left="720"/>
      <w:contextualSpacing/>
    </w:pPr>
  </w:style>
  <w:style w:type="paragraph" w:styleId="Sinespaciado">
    <w:name w:val="No Spacing"/>
    <w:uiPriority w:val="1"/>
    <w:qFormat/>
    <w:rsid w:val="009F2D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3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1E"/>
  </w:style>
  <w:style w:type="paragraph" w:styleId="Piedepgina">
    <w:name w:val="footer"/>
    <w:basedOn w:val="Normal"/>
    <w:link w:val="PiedepginaCar"/>
    <w:uiPriority w:val="99"/>
    <w:unhideWhenUsed/>
    <w:rsid w:val="00D3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3110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Coord_Discursos</dc:creator>
  <cp:keywords/>
  <dc:description/>
  <cp:lastModifiedBy>Coord_Discursos</cp:lastModifiedBy>
  <cp:revision>73</cp:revision>
  <dcterms:created xsi:type="dcterms:W3CDTF">2016-02-25T22:54:00Z</dcterms:created>
  <dcterms:modified xsi:type="dcterms:W3CDTF">2016-02-26T19:43:00Z</dcterms:modified>
</cp:coreProperties>
</file>