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AB" w:rsidRPr="00AF0E93" w:rsidRDefault="00FC52AB" w:rsidP="006116AF">
      <w:pPr>
        <w:pStyle w:val="Textoindependiente"/>
        <w:spacing w:after="0"/>
        <w:jc w:val="both"/>
        <w:rPr>
          <w:b/>
        </w:rPr>
      </w:pPr>
      <w:r w:rsidRPr="00AF0E93">
        <w:rPr>
          <w:b/>
        </w:rPr>
        <w:t>CONVENIO DE INTERCONEXIÓN ENTRE LOS SISTEMAS TECNOLÓGICOS DE GESTIÓN JURISDICCIONAL QUE CELEBRAN EL CONSEJO DE LA JUDICATURA FEDERAL, REPRESENTADO EN ESTE ACTO POR</w:t>
      </w:r>
      <w:r w:rsidR="001059E4">
        <w:rPr>
          <w:b/>
        </w:rPr>
        <w:t xml:space="preserve"> </w:t>
      </w:r>
      <w:r w:rsidR="001059E4" w:rsidRPr="00897064">
        <w:rPr>
          <w:b/>
          <w:color w:val="FF0000"/>
          <w:u w:val="single"/>
        </w:rPr>
        <w:t>(Servidor Público que determine el Pleno del CJF)</w:t>
      </w:r>
      <w:r w:rsidRPr="00AF0E93">
        <w:rPr>
          <w:b/>
        </w:rPr>
        <w:t>, EN LO SUCESIVO “CJF” Y</w:t>
      </w:r>
      <w:r w:rsidR="006116AF">
        <w:rPr>
          <w:b/>
        </w:rPr>
        <w:t>,</w:t>
      </w:r>
      <w:r w:rsidRPr="00AF0E93">
        <w:rPr>
          <w:b/>
        </w:rPr>
        <w:t xml:space="preserve"> POR LA OTRA, EL</w:t>
      </w:r>
      <w:r w:rsidR="001059E4">
        <w:rPr>
          <w:b/>
        </w:rPr>
        <w:t xml:space="preserve"> </w:t>
      </w:r>
      <w:r w:rsidR="001059E4" w:rsidRPr="004660BE">
        <w:rPr>
          <w:b/>
          <w:color w:val="FF0000"/>
          <w:u w:val="single"/>
        </w:rPr>
        <w:t>(Institución de Justicia</w:t>
      </w:r>
      <w:r w:rsidR="001059E4" w:rsidRPr="00D964A3">
        <w:rPr>
          <w:b/>
          <w:color w:val="FF0000"/>
        </w:rPr>
        <w:t>)</w:t>
      </w:r>
      <w:r w:rsidRPr="00AF0E93">
        <w:rPr>
          <w:b/>
        </w:rPr>
        <w:t xml:space="preserve">, REPRESENTADO EN ESTE ACTO POR </w:t>
      </w:r>
      <w:r w:rsidR="001059E4">
        <w:rPr>
          <w:b/>
          <w:color w:val="FF0000"/>
        </w:rPr>
        <w:t>(______________</w:t>
      </w:r>
      <w:r w:rsidR="001059E4" w:rsidRPr="004660BE">
        <w:rPr>
          <w:b/>
          <w:color w:val="FF0000"/>
        </w:rPr>
        <w:t>)</w:t>
      </w:r>
      <w:r w:rsidRPr="00AF0E93">
        <w:rPr>
          <w:b/>
        </w:rPr>
        <w:t>, EN LO SUCESIVO</w:t>
      </w:r>
      <w:r w:rsidR="001059E4">
        <w:rPr>
          <w:b/>
        </w:rPr>
        <w:t xml:space="preserve"> </w:t>
      </w:r>
      <w:r w:rsidR="001059E4" w:rsidRPr="004660BE">
        <w:rPr>
          <w:b/>
          <w:color w:val="FF0000"/>
        </w:rPr>
        <w:t>“_”</w:t>
      </w:r>
      <w:r w:rsidRPr="00AF0E93">
        <w:rPr>
          <w:b/>
        </w:rPr>
        <w:t>; A QUIENES EN FORMA CONJUNTA SE LES DENOMINARÁ “LAS PARTES”, AL TENOR DE LOS SIGUIENTES ANTECEDENTES, DECLARACIONES Y CLÁUSULAS:</w:t>
      </w:r>
    </w:p>
    <w:p w:rsidR="006116AF" w:rsidRPr="00E35A26" w:rsidRDefault="006116AF" w:rsidP="006116AF">
      <w:pPr>
        <w:pStyle w:val="Sinespaciado"/>
        <w:jc w:val="center"/>
        <w:rPr>
          <w:rFonts w:cstheme="minorHAnsi"/>
          <w:b/>
        </w:rPr>
      </w:pPr>
      <w:r w:rsidRPr="00E35A26">
        <w:rPr>
          <w:rFonts w:cstheme="minorHAnsi"/>
          <w:b/>
        </w:rPr>
        <w:t>ANTECEDENTES</w:t>
      </w:r>
    </w:p>
    <w:p w:rsidR="00FC52AB" w:rsidRPr="00F3308D" w:rsidRDefault="00FC52AB" w:rsidP="006116AF">
      <w:pPr>
        <w:jc w:val="both"/>
        <w:rPr>
          <w:rFonts w:cstheme="minorHAnsi"/>
          <w:b/>
        </w:rPr>
      </w:pPr>
    </w:p>
    <w:p w:rsidR="00FC52AB" w:rsidRPr="00F3308D" w:rsidRDefault="00FC52AB" w:rsidP="006116AF">
      <w:pPr>
        <w:jc w:val="both"/>
        <w:rPr>
          <w:rFonts w:cstheme="minorHAnsi"/>
          <w:b/>
          <w:highlight w:val="yellow"/>
        </w:rPr>
      </w:pPr>
    </w:p>
    <w:p w:rsidR="00FC52AB" w:rsidRDefault="00FC52AB" w:rsidP="006116AF">
      <w:pPr>
        <w:pStyle w:val="Textoindependiente"/>
        <w:spacing w:after="0"/>
        <w:jc w:val="both"/>
        <w:rPr>
          <w:lang w:val="es-ES"/>
        </w:rPr>
      </w:pPr>
      <w:r w:rsidRPr="00F3308D">
        <w:t xml:space="preserve">Derivado de la emisión de la nueva Ley de Amparo, </w:t>
      </w:r>
      <w:r w:rsidR="006116AF">
        <w:rPr>
          <w:lang w:val="es-ES"/>
        </w:rPr>
        <w:t>publicada el dos de abril de dos mil trece</w:t>
      </w:r>
      <w:r w:rsidRPr="00F3308D">
        <w:rPr>
          <w:lang w:val="es-ES"/>
        </w:rPr>
        <w:t xml:space="preserve"> en el Diario Oficial de la Federación, se busca implementar los mecanismos de protección, seguridad, eficiencia y prontitud en la impartición de justicia, en beneficio de las y los gobernados. Uno de ellos es el Sistema Electrónico del Poder Judicial de la Federación, donde se registran cada uno de los expedientes digitales, de conformidad en el artículo 3 de la referida Ley, relacionada con el transitorio décimo primero. </w:t>
      </w:r>
    </w:p>
    <w:p w:rsidR="006116AF" w:rsidRPr="00F3308D" w:rsidRDefault="006116AF" w:rsidP="006116AF">
      <w:pPr>
        <w:pStyle w:val="Textoindependiente"/>
        <w:spacing w:after="0"/>
        <w:jc w:val="both"/>
        <w:rPr>
          <w:lang w:val="es-ES"/>
        </w:rPr>
      </w:pPr>
    </w:p>
    <w:p w:rsidR="00FC52AB" w:rsidRDefault="00FC52AB" w:rsidP="006116AF">
      <w:pPr>
        <w:pStyle w:val="Sinespaciado"/>
        <w:spacing w:line="276" w:lineRule="auto"/>
        <w:jc w:val="both"/>
        <w:rPr>
          <w:rFonts w:cstheme="minorHAnsi"/>
        </w:rPr>
      </w:pPr>
      <w:r w:rsidRPr="00F3308D">
        <w:rPr>
          <w:rFonts w:cstheme="minorHAnsi"/>
        </w:rPr>
        <w:t>Al respecto, la Suprema Corte de Justicia de la Nación, la Sala Superior y la Comisión de Administración del Tribunal Electoral del Poder Judicial Federal, así como el Pleno del Consejo de la Judicatura Federal aprobaron el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 publicado en el Diario Oficial de la Federación el ocho de julio de dos mil trece, el cu</w:t>
      </w:r>
      <w:r w:rsidR="006116AF">
        <w:rPr>
          <w:rFonts w:cstheme="minorHAnsi"/>
        </w:rPr>
        <w:t>al establece en sus artículos 1, 2, fracción VII, 12,</w:t>
      </w:r>
      <w:r w:rsidRPr="00F3308D">
        <w:rPr>
          <w:rFonts w:cstheme="minorHAnsi"/>
        </w:rPr>
        <w:t xml:space="preserve"> 15 y 16, las bases que rigen al Expediente Electrónico, la integración y el acceso a los mismos.</w:t>
      </w:r>
    </w:p>
    <w:p w:rsidR="006116AF" w:rsidRPr="00F3308D" w:rsidRDefault="006116AF" w:rsidP="006116AF">
      <w:pPr>
        <w:pStyle w:val="Sinespaciado"/>
        <w:spacing w:line="276" w:lineRule="auto"/>
        <w:jc w:val="both"/>
        <w:rPr>
          <w:rFonts w:cstheme="minorHAnsi"/>
        </w:rPr>
      </w:pPr>
    </w:p>
    <w:p w:rsidR="00FC52AB" w:rsidRDefault="00FC52AB" w:rsidP="006116AF">
      <w:pPr>
        <w:pStyle w:val="Sinespaciado"/>
        <w:spacing w:line="276" w:lineRule="auto"/>
        <w:jc w:val="both"/>
        <w:rPr>
          <w:rFonts w:cstheme="minorHAnsi"/>
        </w:rPr>
      </w:pPr>
      <w:r w:rsidRPr="00F3308D">
        <w:rPr>
          <w:rFonts w:cstheme="minorHAnsi"/>
        </w:rPr>
        <w:t>No obstante, en el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 publicado en el Diario Oficial de la Federación el nueve de diciembre de dos mil quince, prevé la celebración de convenios entre el Consejo de la Judicatura Federal y otras instituciones de justicia a fin de lograr una interconexión tecnológica, en la inteligencia de que en el referido artículo 102 se establece lo siguiente:</w:t>
      </w:r>
    </w:p>
    <w:p w:rsidR="006116AF" w:rsidRPr="00F3308D" w:rsidRDefault="006116AF" w:rsidP="006116AF">
      <w:pPr>
        <w:pStyle w:val="Sinespaciado"/>
        <w:spacing w:line="276" w:lineRule="auto"/>
        <w:jc w:val="both"/>
        <w:rPr>
          <w:rFonts w:cstheme="minorHAnsi"/>
        </w:rPr>
      </w:pPr>
    </w:p>
    <w:p w:rsidR="00FC52AB" w:rsidRDefault="00FC52AB" w:rsidP="006116AF">
      <w:pPr>
        <w:pStyle w:val="Sinespaciado"/>
        <w:spacing w:line="276" w:lineRule="auto"/>
        <w:ind w:left="709"/>
        <w:jc w:val="both"/>
        <w:rPr>
          <w:rFonts w:cstheme="minorHAnsi"/>
          <w:i/>
        </w:rPr>
      </w:pPr>
      <w:r w:rsidRPr="00F3308D">
        <w:rPr>
          <w:rFonts w:cstheme="minorHAnsi"/>
          <w:i/>
        </w:rPr>
        <w:t>“</w:t>
      </w:r>
      <w:r w:rsidRPr="00F3308D">
        <w:rPr>
          <w:rFonts w:cstheme="minorHAnsi"/>
          <w:b/>
          <w:i/>
        </w:rPr>
        <w:t>Artículo 102.</w:t>
      </w:r>
      <w:r w:rsidRPr="00F3308D">
        <w:rPr>
          <w:rFonts w:cstheme="minorHAnsi"/>
          <w:i/>
        </w:rPr>
        <w:t xml:space="preserve"> En caso que los tribunales judiciales, administrativos o de trabajo cuenten con sistemas de gestión jurisdiccional, el convenio tendrá por objeto la interconexión entre los sistemas que permitan el envío de </w:t>
      </w:r>
      <w:r w:rsidR="00E90CDC">
        <w:rPr>
          <w:rFonts w:cstheme="minorHAnsi"/>
          <w:i/>
        </w:rPr>
        <w:t>las demandas de juicios de ampar</w:t>
      </w:r>
      <w:r w:rsidRPr="00F3308D">
        <w:rPr>
          <w:rFonts w:cstheme="minorHAnsi"/>
          <w:i/>
        </w:rPr>
        <w:t>o directo e informes justificados a los Tribunales Colegiados de Circuito, así como la consulta de los expedientes electrónicos respectivos.”</w:t>
      </w:r>
    </w:p>
    <w:p w:rsidR="006116AF" w:rsidRPr="00F3308D" w:rsidRDefault="006116AF" w:rsidP="006116AF">
      <w:pPr>
        <w:pStyle w:val="Sinespaciado"/>
        <w:spacing w:line="276" w:lineRule="auto"/>
        <w:ind w:left="709"/>
        <w:jc w:val="both"/>
        <w:rPr>
          <w:rFonts w:cstheme="minorHAnsi"/>
          <w:i/>
        </w:rPr>
      </w:pPr>
    </w:p>
    <w:p w:rsidR="00FC52AB" w:rsidRPr="00F3308D" w:rsidRDefault="00FC52AB" w:rsidP="006116AF">
      <w:pPr>
        <w:pStyle w:val="Sinespaciado"/>
        <w:jc w:val="both"/>
        <w:rPr>
          <w:rFonts w:cstheme="minorHAnsi"/>
        </w:rPr>
      </w:pPr>
      <w:r w:rsidRPr="00F3308D">
        <w:rPr>
          <w:rFonts w:cstheme="minorHAnsi"/>
        </w:rPr>
        <w:t>Por tanto, la celebración del presente convenio de colaboración se considera improrrogable, ya que las y los justiciables tienen derecho a acceder al Sistema Electrónico del Poder Judicial d</w:t>
      </w:r>
      <w:r w:rsidR="006116AF">
        <w:rPr>
          <w:rFonts w:cstheme="minorHAnsi"/>
        </w:rPr>
        <w:t>e la Federación y al del</w:t>
      </w:r>
      <w:r w:rsidR="001059E4">
        <w:rPr>
          <w:rFonts w:cstheme="minorHAnsi"/>
        </w:rPr>
        <w:t xml:space="preserve"> </w:t>
      </w:r>
      <w:r w:rsidR="001059E4" w:rsidRPr="004660BE">
        <w:rPr>
          <w:b/>
          <w:color w:val="FF0000"/>
          <w:u w:val="single"/>
        </w:rPr>
        <w:t>(Institución de Justicia</w:t>
      </w:r>
      <w:r w:rsidR="001059E4" w:rsidRPr="00D964A3">
        <w:rPr>
          <w:b/>
          <w:color w:val="FF0000"/>
        </w:rPr>
        <w:t>)</w:t>
      </w:r>
      <w:r w:rsidR="006116AF">
        <w:rPr>
          <w:rFonts w:cstheme="minorHAnsi"/>
        </w:rPr>
        <w:t>, con</w:t>
      </w:r>
      <w:r w:rsidRPr="00F3308D">
        <w:rPr>
          <w:rFonts w:cstheme="minorHAnsi"/>
          <w:noProof w:val="0"/>
          <w:lang w:val="es-ES"/>
        </w:rPr>
        <w:t xml:space="preserve"> lo que se pretende minimizar el tiempo de atención en los trámites y servicios, incorporando nuevas tecnologías de seguridad de las comunicaciones electrónicas entre los usuarios de</w:t>
      </w:r>
      <w:r w:rsidRPr="00F3308D">
        <w:rPr>
          <w:rFonts w:cstheme="minorHAnsi"/>
        </w:rPr>
        <w:t xml:space="preserve"> </w:t>
      </w:r>
      <w:r w:rsidRPr="00F3308D">
        <w:rPr>
          <w:rFonts w:cstheme="minorHAnsi"/>
          <w:b/>
        </w:rPr>
        <w:t>“LAS PARTES”</w:t>
      </w:r>
      <w:r w:rsidRPr="00F3308D">
        <w:rPr>
          <w:rFonts w:cstheme="minorHAnsi"/>
        </w:rPr>
        <w:t>.</w:t>
      </w:r>
    </w:p>
    <w:p w:rsidR="00FC52AB" w:rsidRPr="00F3308D" w:rsidRDefault="00FC52AB" w:rsidP="006116AF">
      <w:pPr>
        <w:rPr>
          <w:rFonts w:cstheme="minorHAnsi"/>
        </w:rPr>
      </w:pPr>
    </w:p>
    <w:p w:rsidR="006116AF" w:rsidRPr="00E35A26" w:rsidRDefault="006116AF" w:rsidP="006116AF">
      <w:pPr>
        <w:pStyle w:val="Sinespaciado"/>
        <w:jc w:val="center"/>
        <w:rPr>
          <w:rFonts w:cstheme="minorHAnsi"/>
          <w:b/>
        </w:rPr>
      </w:pPr>
      <w:r w:rsidRPr="00E35A26">
        <w:rPr>
          <w:rFonts w:cstheme="minorHAnsi"/>
          <w:b/>
        </w:rPr>
        <w:t>DECLARACIONES</w:t>
      </w:r>
    </w:p>
    <w:p w:rsidR="006116AF" w:rsidRPr="00E35A26" w:rsidRDefault="006116AF" w:rsidP="006116AF">
      <w:pPr>
        <w:pStyle w:val="Sinespaciado"/>
        <w:rPr>
          <w:rFonts w:cstheme="minorHAnsi"/>
          <w:b/>
        </w:rPr>
      </w:pPr>
    </w:p>
    <w:p w:rsidR="00FC52AB" w:rsidRPr="00F3308D" w:rsidRDefault="00FC52AB" w:rsidP="006116AF">
      <w:pPr>
        <w:jc w:val="center"/>
        <w:rPr>
          <w:rFonts w:cstheme="minorHAnsi"/>
          <w:b/>
        </w:rPr>
      </w:pPr>
    </w:p>
    <w:p w:rsidR="00FC52AB" w:rsidRPr="00F3308D" w:rsidRDefault="00FC52AB" w:rsidP="006116AF">
      <w:pPr>
        <w:pStyle w:val="Sinespaciado"/>
        <w:numPr>
          <w:ilvl w:val="0"/>
          <w:numId w:val="1"/>
        </w:numPr>
        <w:jc w:val="both"/>
        <w:rPr>
          <w:rFonts w:cstheme="minorHAnsi"/>
          <w:b/>
        </w:rPr>
      </w:pPr>
      <w:r w:rsidRPr="00F3308D">
        <w:rPr>
          <w:rFonts w:cstheme="minorHAnsi"/>
          <w:b/>
        </w:rPr>
        <w:t>DECLARA EL “CJF”, QUE:</w:t>
      </w:r>
    </w:p>
    <w:p w:rsidR="00FC52AB" w:rsidRPr="00F3308D" w:rsidRDefault="00FC52AB" w:rsidP="006116AF">
      <w:pPr>
        <w:pStyle w:val="Sinespaciado"/>
        <w:ind w:left="1080"/>
        <w:jc w:val="both"/>
        <w:rPr>
          <w:rFonts w:cstheme="minorHAnsi"/>
          <w:b/>
        </w:rPr>
      </w:pPr>
    </w:p>
    <w:p w:rsidR="00FC52AB" w:rsidRDefault="00FC52AB" w:rsidP="006116AF">
      <w:pPr>
        <w:pStyle w:val="Sinespaciado"/>
        <w:ind w:left="1418" w:hanging="338"/>
        <w:jc w:val="both"/>
        <w:rPr>
          <w:rFonts w:cstheme="minorHAnsi"/>
        </w:rPr>
      </w:pPr>
      <w:r w:rsidRPr="00F3308D">
        <w:rPr>
          <w:rFonts w:cstheme="minorHAnsi"/>
          <w:b/>
        </w:rPr>
        <w:t xml:space="preserve">I.1 </w:t>
      </w:r>
      <w:r w:rsidRPr="00F3308D">
        <w:rPr>
          <w:rFonts w:cstheme="minorHAnsi"/>
        </w:rPr>
        <w:t>De conformidad con lo dispuesto en el artículo 94, párrafo segundo, de la Constitución Política de los Estados Unidos Mexicanos, el Consejo de la Judicatura Federal estará a cargo de la administración, vigilancia y disciplina del Poder Judicial de la Federación, con excepción de la Suprema Corte de Justicia de la Nación.</w:t>
      </w:r>
    </w:p>
    <w:p w:rsidR="006116AF" w:rsidRPr="00F3308D" w:rsidRDefault="006116AF" w:rsidP="006116AF">
      <w:pPr>
        <w:pStyle w:val="Sinespaciado"/>
        <w:ind w:left="1418" w:hanging="338"/>
        <w:jc w:val="both"/>
        <w:rPr>
          <w:rFonts w:cstheme="minorHAnsi"/>
        </w:rPr>
      </w:pPr>
    </w:p>
    <w:p w:rsidR="00FC52AB" w:rsidRDefault="00FC52AB" w:rsidP="006116AF">
      <w:pPr>
        <w:pStyle w:val="Sinespaciado"/>
        <w:ind w:left="1418" w:hanging="338"/>
        <w:jc w:val="both"/>
        <w:rPr>
          <w:rFonts w:cstheme="minorHAnsi"/>
        </w:rPr>
      </w:pPr>
      <w:r w:rsidRPr="00F3308D">
        <w:rPr>
          <w:rFonts w:cstheme="minorHAnsi"/>
          <w:b/>
        </w:rPr>
        <w:t xml:space="preserve">I.2 </w:t>
      </w:r>
      <w:r w:rsidRPr="00F3308D">
        <w:rPr>
          <w:rFonts w:cstheme="minorHAnsi"/>
        </w:rPr>
        <w:tab/>
        <w:t>De acuerdo a lo previsto en los artículos 3, párrafo séptimo, de la Ley de Amparo y Décimo Primero Transitorio, el Consejo de la Judicatura Federal debe emitir mediante acuerdos generales, reglas y reglamentos para la implementación del sistema electrónico para el trámite del juicio de amparo.</w:t>
      </w:r>
    </w:p>
    <w:p w:rsidR="006116AF" w:rsidRPr="00F3308D" w:rsidRDefault="006116AF" w:rsidP="006116AF">
      <w:pPr>
        <w:pStyle w:val="Sinespaciado"/>
        <w:ind w:left="1418" w:hanging="338"/>
        <w:jc w:val="both"/>
        <w:rPr>
          <w:rFonts w:cstheme="minorHAnsi"/>
          <w:b/>
        </w:rPr>
      </w:pPr>
    </w:p>
    <w:p w:rsidR="00FC52AB" w:rsidRPr="00F3308D" w:rsidRDefault="00FC52AB" w:rsidP="006116AF">
      <w:pPr>
        <w:pStyle w:val="Sinespaciado"/>
        <w:ind w:left="1418" w:hanging="338"/>
        <w:jc w:val="both"/>
        <w:rPr>
          <w:rFonts w:cstheme="minorHAnsi"/>
        </w:rPr>
      </w:pPr>
      <w:r w:rsidRPr="00F3308D">
        <w:rPr>
          <w:rFonts w:cstheme="minorHAnsi"/>
          <w:b/>
        </w:rPr>
        <w:t>I.3</w:t>
      </w:r>
      <w:r w:rsidRPr="00F3308D">
        <w:rPr>
          <w:rFonts w:cstheme="minorHAnsi"/>
        </w:rPr>
        <w:tab/>
        <w:t xml:space="preserve">En términos de los artículos 101 y 102 del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 publicado en el Diario Oficial de la Federación el nueve de diciembre de dos mil quince, el Consejo de la Judicatura Federal tiene la facultad de celebrar </w:t>
      </w:r>
      <w:r w:rsidRPr="00F3308D">
        <w:rPr>
          <w:rFonts w:eastAsia="Times New Roman" w:cstheme="minorHAnsi"/>
        </w:rPr>
        <w:t>convenios con los tribunales judiciales, administrativos o de trabajo para efecto que los justiciables cuenten con la posibilidad de promover juicios de amparo directo ante ellos cuando dichos tribunales sean señalados como autoridades responsables, esto es, buscar la interconexión entre los sistemas que permitan el envío de las demandas de juicios de amparo directo e informes justificados a los Tribunales Colegiados de Circuito, así como la consulta de los expedientes electrónicos respectivos.</w:t>
      </w:r>
    </w:p>
    <w:p w:rsidR="00FC52AB" w:rsidRPr="00F3308D" w:rsidRDefault="00FC52AB" w:rsidP="006116AF">
      <w:pPr>
        <w:pStyle w:val="Sinespaciado"/>
        <w:ind w:left="1418" w:hanging="338"/>
        <w:jc w:val="both"/>
        <w:rPr>
          <w:rFonts w:cstheme="minorHAnsi"/>
        </w:rPr>
      </w:pPr>
      <w:r w:rsidRPr="00F3308D">
        <w:rPr>
          <w:rFonts w:cstheme="minorHAnsi"/>
          <w:b/>
        </w:rPr>
        <w:t xml:space="preserve">I.4 </w:t>
      </w:r>
      <w:r w:rsidRPr="00F3308D">
        <w:rPr>
          <w:rFonts w:cstheme="minorHAnsi"/>
          <w:b/>
        </w:rPr>
        <w:tab/>
      </w:r>
      <w:r w:rsidRPr="00F3308D">
        <w:rPr>
          <w:rFonts w:cstheme="minorHAnsi"/>
        </w:rPr>
        <w:t xml:space="preserve"> Para los fines y efectos legales del presente convenio, señala como el domicilio ubicado en avenida Insurgentes Sur número 2417, colonia San Ángel, delegación Álvaro Obregón, C.P. 01000, en la Ciudad de México.</w:t>
      </w:r>
    </w:p>
    <w:p w:rsidR="00FC52AB" w:rsidRPr="00F3308D" w:rsidRDefault="00FC52AB" w:rsidP="006116AF">
      <w:pPr>
        <w:rPr>
          <w:rFonts w:cstheme="minorHAnsi"/>
        </w:rPr>
      </w:pPr>
    </w:p>
    <w:p w:rsidR="00FC52AB" w:rsidRPr="00F3308D" w:rsidRDefault="00FC52AB" w:rsidP="006116AF">
      <w:pPr>
        <w:pStyle w:val="Lista2"/>
        <w:numPr>
          <w:ilvl w:val="0"/>
          <w:numId w:val="1"/>
        </w:numPr>
      </w:pPr>
      <w:r w:rsidRPr="00F3308D">
        <w:t xml:space="preserve">DECLARA EL </w:t>
      </w:r>
      <w:r w:rsidR="001059E4" w:rsidRPr="004660BE">
        <w:rPr>
          <w:b/>
          <w:color w:val="FF0000"/>
        </w:rPr>
        <w:t>“_”</w:t>
      </w:r>
      <w:r w:rsidRPr="00F3308D">
        <w:t>, QUE:</w:t>
      </w:r>
    </w:p>
    <w:p w:rsidR="00FC52AB" w:rsidRPr="00F3308D" w:rsidRDefault="00FC52AB" w:rsidP="006116AF">
      <w:pPr>
        <w:pStyle w:val="Sinespaciado"/>
        <w:ind w:left="1080"/>
        <w:jc w:val="both"/>
        <w:rPr>
          <w:rFonts w:cstheme="minorHAnsi"/>
          <w:b/>
        </w:rPr>
      </w:pPr>
    </w:p>
    <w:p w:rsidR="006116AF" w:rsidRPr="001059E4" w:rsidRDefault="00FC52AB" w:rsidP="001059E4">
      <w:pPr>
        <w:pStyle w:val="Sinespaciado"/>
        <w:ind w:left="1418" w:hanging="338"/>
        <w:jc w:val="both"/>
        <w:rPr>
          <w:rFonts w:cstheme="minorHAnsi"/>
          <w:color w:val="000000" w:themeColor="text1"/>
        </w:rPr>
      </w:pPr>
      <w:r w:rsidRPr="00F3308D">
        <w:rPr>
          <w:rFonts w:cstheme="minorHAnsi"/>
          <w:b/>
        </w:rPr>
        <w:t>II.1</w:t>
      </w:r>
      <w:r w:rsidRPr="00F3308D">
        <w:rPr>
          <w:rFonts w:cstheme="minorHAnsi"/>
        </w:rPr>
        <w:t xml:space="preserve"> </w:t>
      </w:r>
    </w:p>
    <w:p w:rsidR="006116AF" w:rsidRPr="00F3308D" w:rsidRDefault="00FC52AB" w:rsidP="006116AF">
      <w:pPr>
        <w:pStyle w:val="Sinespaciado"/>
        <w:tabs>
          <w:tab w:val="left" w:pos="708"/>
          <w:tab w:val="left" w:pos="1416"/>
          <w:tab w:val="left" w:pos="2124"/>
          <w:tab w:val="left" w:pos="2832"/>
          <w:tab w:val="left" w:pos="3540"/>
          <w:tab w:val="left" w:pos="4248"/>
          <w:tab w:val="left" w:pos="4956"/>
          <w:tab w:val="left" w:pos="5664"/>
          <w:tab w:val="left" w:pos="6415"/>
        </w:tabs>
        <w:ind w:left="1418" w:hanging="338"/>
        <w:jc w:val="both"/>
        <w:rPr>
          <w:rFonts w:cstheme="minorHAnsi"/>
        </w:rPr>
      </w:pPr>
      <w:r w:rsidRPr="00F3308D">
        <w:rPr>
          <w:rFonts w:cstheme="minorHAnsi"/>
          <w:b/>
        </w:rPr>
        <w:t>II.2</w:t>
      </w:r>
      <w:r w:rsidRPr="00F3308D">
        <w:rPr>
          <w:rFonts w:cstheme="minorHAnsi"/>
          <w:b/>
        </w:rPr>
        <w:tab/>
      </w:r>
    </w:p>
    <w:p w:rsidR="00FC52AB" w:rsidRPr="00F3308D" w:rsidRDefault="00FC52AB" w:rsidP="006116AF">
      <w:pPr>
        <w:pStyle w:val="Sinespaciado"/>
        <w:ind w:left="1418" w:hanging="338"/>
        <w:jc w:val="both"/>
        <w:rPr>
          <w:rFonts w:cstheme="minorHAnsi"/>
        </w:rPr>
      </w:pPr>
      <w:r w:rsidRPr="00F3308D">
        <w:rPr>
          <w:rFonts w:cstheme="minorHAnsi"/>
          <w:b/>
        </w:rPr>
        <w:t>II.3</w:t>
      </w:r>
      <w:r w:rsidRPr="00F3308D">
        <w:rPr>
          <w:rFonts w:cstheme="minorHAnsi"/>
          <w:b/>
        </w:rPr>
        <w:tab/>
      </w:r>
    </w:p>
    <w:p w:rsidR="00FC52AB" w:rsidRPr="00F3308D" w:rsidRDefault="00FC52AB" w:rsidP="006116AF">
      <w:pPr>
        <w:rPr>
          <w:rFonts w:cstheme="minorHAnsi"/>
        </w:rPr>
      </w:pPr>
    </w:p>
    <w:p w:rsidR="00FC52AB" w:rsidRPr="00F3308D" w:rsidRDefault="00FC52AB" w:rsidP="006116AF">
      <w:pPr>
        <w:pStyle w:val="Sinespaciado"/>
        <w:numPr>
          <w:ilvl w:val="0"/>
          <w:numId w:val="1"/>
        </w:numPr>
        <w:jc w:val="both"/>
        <w:rPr>
          <w:rFonts w:cstheme="minorHAnsi"/>
          <w:b/>
          <w:color w:val="000000" w:themeColor="text1"/>
        </w:rPr>
      </w:pPr>
      <w:r w:rsidRPr="00F3308D">
        <w:rPr>
          <w:rFonts w:cstheme="minorHAnsi"/>
          <w:b/>
          <w:color w:val="000000" w:themeColor="text1"/>
        </w:rPr>
        <w:t>“LAS PARTES” DECLARAN, QUE :</w:t>
      </w:r>
    </w:p>
    <w:p w:rsidR="00FC52AB" w:rsidRPr="00F3308D" w:rsidRDefault="00FC52AB" w:rsidP="006116AF">
      <w:pPr>
        <w:pStyle w:val="Sinespaciado"/>
        <w:ind w:left="1080"/>
        <w:jc w:val="both"/>
        <w:rPr>
          <w:rFonts w:cstheme="minorHAnsi"/>
          <w:b/>
        </w:rPr>
      </w:pPr>
    </w:p>
    <w:p w:rsidR="00FC52AB" w:rsidRDefault="00FC52AB" w:rsidP="006116AF">
      <w:pPr>
        <w:pStyle w:val="Sinespaciado"/>
        <w:ind w:left="1418" w:hanging="425"/>
        <w:jc w:val="both"/>
        <w:rPr>
          <w:rFonts w:cstheme="minorHAnsi"/>
        </w:rPr>
      </w:pPr>
      <w:r w:rsidRPr="00F3308D">
        <w:rPr>
          <w:rFonts w:cstheme="minorHAnsi"/>
          <w:b/>
        </w:rPr>
        <w:t xml:space="preserve">III.1 </w:t>
      </w:r>
      <w:r w:rsidRPr="00F3308D">
        <w:rPr>
          <w:rFonts w:cstheme="minorHAnsi"/>
        </w:rPr>
        <w:t>Reconoce en forma recíproca la personalidad jurídica y capacidad legal que ostentan, misma que al momento de suscribir el presente Convenio, no les ha sido revocada, modificada, ni limitada en forma alguna.</w:t>
      </w:r>
    </w:p>
    <w:p w:rsidR="006116AF" w:rsidRPr="00F3308D" w:rsidRDefault="006116AF" w:rsidP="006116AF">
      <w:pPr>
        <w:pStyle w:val="Sinespaciado"/>
        <w:ind w:left="1418" w:hanging="425"/>
        <w:jc w:val="both"/>
        <w:rPr>
          <w:rFonts w:cstheme="minorHAnsi"/>
        </w:rPr>
      </w:pPr>
    </w:p>
    <w:p w:rsidR="00FC52AB" w:rsidRDefault="00FC52AB" w:rsidP="006116AF">
      <w:pPr>
        <w:pStyle w:val="Sinespaciado"/>
        <w:ind w:left="1418" w:hanging="425"/>
        <w:jc w:val="both"/>
        <w:rPr>
          <w:rFonts w:cstheme="minorHAnsi"/>
        </w:rPr>
      </w:pPr>
      <w:r w:rsidRPr="00F3308D">
        <w:rPr>
          <w:rFonts w:cstheme="minorHAnsi"/>
          <w:b/>
        </w:rPr>
        <w:t xml:space="preserve">III.2 </w:t>
      </w:r>
      <w:r w:rsidRPr="00F3308D">
        <w:rPr>
          <w:rFonts w:cstheme="minorHAnsi"/>
        </w:rPr>
        <w:t>Están en la mejor disposición de apoyarse, sumar esfuerzos, recursos para cumplir cabalmente con el objeto del presente instrumento jurídico.</w:t>
      </w:r>
    </w:p>
    <w:p w:rsidR="006116AF" w:rsidRPr="00F3308D" w:rsidRDefault="006116AF" w:rsidP="006116AF">
      <w:pPr>
        <w:pStyle w:val="Sinespaciado"/>
        <w:ind w:left="1418" w:hanging="425"/>
        <w:jc w:val="both"/>
        <w:rPr>
          <w:rFonts w:cstheme="minorHAnsi"/>
        </w:rPr>
      </w:pPr>
    </w:p>
    <w:p w:rsidR="00FC52AB" w:rsidRPr="00F3308D" w:rsidRDefault="00FC52AB" w:rsidP="006116AF">
      <w:pPr>
        <w:pStyle w:val="Sinespaciado"/>
        <w:ind w:left="1418" w:hanging="425"/>
        <w:jc w:val="both"/>
        <w:rPr>
          <w:rFonts w:cstheme="minorHAnsi"/>
        </w:rPr>
      </w:pPr>
      <w:r w:rsidRPr="00F3308D">
        <w:rPr>
          <w:rFonts w:cstheme="minorHAnsi"/>
          <w:b/>
        </w:rPr>
        <w:lastRenderedPageBreak/>
        <w:t xml:space="preserve">III.3 </w:t>
      </w:r>
      <w:r w:rsidRPr="00F3308D">
        <w:rPr>
          <w:rFonts w:cstheme="minorHAnsi"/>
        </w:rPr>
        <w:t>Es su deseo celebrar el presente Convenio de interconexión, de conformidad con las siguientes:</w:t>
      </w:r>
    </w:p>
    <w:p w:rsidR="00FC52AB" w:rsidRPr="00F3308D" w:rsidRDefault="00FC52AB" w:rsidP="006116AF">
      <w:pPr>
        <w:pStyle w:val="Sinespaciado"/>
        <w:jc w:val="both"/>
        <w:rPr>
          <w:rFonts w:cstheme="minorHAnsi"/>
          <w:b/>
        </w:rPr>
      </w:pPr>
    </w:p>
    <w:p w:rsidR="00FC52AB" w:rsidRPr="00F3308D" w:rsidRDefault="00FC52AB" w:rsidP="006116AF">
      <w:pPr>
        <w:rPr>
          <w:rFonts w:cstheme="minorHAnsi"/>
        </w:rPr>
      </w:pPr>
    </w:p>
    <w:p w:rsidR="006116AF" w:rsidRPr="00E35A26" w:rsidRDefault="006116AF" w:rsidP="006116AF">
      <w:pPr>
        <w:jc w:val="both"/>
        <w:rPr>
          <w:rFonts w:cstheme="minorHAnsi"/>
        </w:rPr>
      </w:pPr>
      <w:r w:rsidRPr="00E35A26">
        <w:rPr>
          <w:rFonts w:cstheme="minorHAnsi"/>
        </w:rPr>
        <w:t xml:space="preserve">Habiendo declarado lo anterior, </w:t>
      </w:r>
      <w:r w:rsidRPr="00E35A26">
        <w:rPr>
          <w:rFonts w:cstheme="minorHAnsi"/>
          <w:b/>
        </w:rPr>
        <w:t>“LAS PARTES”</w:t>
      </w:r>
      <w:r w:rsidRPr="00E35A26">
        <w:rPr>
          <w:rFonts w:cstheme="minorHAnsi"/>
        </w:rPr>
        <w:t xml:space="preserve"> acuerdan sujetar el presente instrumento, de conformidad con las siguientes:</w:t>
      </w:r>
    </w:p>
    <w:p w:rsidR="006116AF" w:rsidRPr="00E35A26" w:rsidRDefault="006116AF" w:rsidP="006116AF">
      <w:pPr>
        <w:pStyle w:val="Sinespaciado"/>
        <w:ind w:left="1418" w:hanging="425"/>
        <w:jc w:val="both"/>
        <w:rPr>
          <w:rFonts w:cstheme="minorHAnsi"/>
        </w:rPr>
      </w:pPr>
    </w:p>
    <w:p w:rsidR="006116AF" w:rsidRPr="00E35A26" w:rsidRDefault="006116AF" w:rsidP="006116AF">
      <w:pPr>
        <w:pStyle w:val="Sinespaciado"/>
        <w:jc w:val="center"/>
        <w:rPr>
          <w:rFonts w:cstheme="minorHAnsi"/>
          <w:b/>
        </w:rPr>
      </w:pPr>
      <w:r w:rsidRPr="00E35A26">
        <w:rPr>
          <w:rFonts w:cstheme="minorHAnsi"/>
          <w:b/>
        </w:rPr>
        <w:t>CLÁUSULAS</w:t>
      </w:r>
    </w:p>
    <w:p w:rsidR="00FC52AB" w:rsidRPr="00F3308D" w:rsidRDefault="00FC52AB" w:rsidP="006116AF">
      <w:pPr>
        <w:jc w:val="center"/>
        <w:rPr>
          <w:rFonts w:cstheme="minorHAnsi"/>
          <w:b/>
        </w:rPr>
      </w:pPr>
    </w:p>
    <w:p w:rsidR="006116AF" w:rsidRDefault="00FC52AB" w:rsidP="006116AF">
      <w:pPr>
        <w:pStyle w:val="Textoindependiente"/>
        <w:spacing w:after="0"/>
        <w:jc w:val="both"/>
        <w:rPr>
          <w:b/>
        </w:rPr>
      </w:pPr>
      <w:r w:rsidRPr="00AF0E93">
        <w:rPr>
          <w:b/>
        </w:rPr>
        <w:t>CLÁUSULA PRIMERA.- (OBJETO).</w:t>
      </w:r>
    </w:p>
    <w:p w:rsidR="00FC52AB" w:rsidRPr="006116AF" w:rsidRDefault="00FC52AB" w:rsidP="006116AF">
      <w:pPr>
        <w:pStyle w:val="Textoindependiente"/>
        <w:spacing w:after="0"/>
        <w:jc w:val="both"/>
        <w:rPr>
          <w:b/>
        </w:rPr>
      </w:pPr>
      <w:r w:rsidRPr="00F3308D">
        <w:t xml:space="preserve">El presente convenio tiene por objeto interconectar los sistemas tecnológicos de gestión jurisdiccional de </w:t>
      </w:r>
      <w:r w:rsidRPr="00F3308D">
        <w:rPr>
          <w:b/>
        </w:rPr>
        <w:t>“LAS PARTES”</w:t>
      </w:r>
      <w:r w:rsidRPr="00F3308D">
        <w:t xml:space="preserve">, a fin de que opere plenamente la tramitación electrónica del juicio de amparo entre los Juzgados de Distrito y Tribunales de Circuito que administra el </w:t>
      </w:r>
      <w:r w:rsidRPr="00F3308D">
        <w:rPr>
          <w:b/>
        </w:rPr>
        <w:t>“CJF”</w:t>
      </w:r>
      <w:r w:rsidRPr="00F3308D">
        <w:t xml:space="preserve">, y los órganos jurisdiccionales del  </w:t>
      </w:r>
      <w:r w:rsidR="001059E4" w:rsidRPr="004660BE">
        <w:rPr>
          <w:b/>
          <w:color w:val="FF0000"/>
        </w:rPr>
        <w:t>“_”</w:t>
      </w:r>
      <w:r w:rsidRPr="00F3308D">
        <w:t>.</w:t>
      </w:r>
    </w:p>
    <w:p w:rsidR="00FC52AB" w:rsidRPr="00F3308D" w:rsidRDefault="00FC52AB" w:rsidP="006116AF">
      <w:pPr>
        <w:jc w:val="both"/>
        <w:rPr>
          <w:rFonts w:cstheme="minorHAnsi"/>
        </w:rPr>
      </w:pPr>
    </w:p>
    <w:p w:rsidR="00FC52AB" w:rsidRPr="00F3308D" w:rsidRDefault="00FC52AB" w:rsidP="006116AF">
      <w:pPr>
        <w:jc w:val="both"/>
        <w:rPr>
          <w:rFonts w:cstheme="minorHAnsi"/>
        </w:rPr>
      </w:pPr>
    </w:p>
    <w:p w:rsidR="006116AF" w:rsidRPr="006116AF" w:rsidRDefault="00FC52AB" w:rsidP="006116AF">
      <w:pPr>
        <w:pStyle w:val="Textoindependiente"/>
        <w:spacing w:after="0"/>
        <w:rPr>
          <w:b/>
        </w:rPr>
      </w:pPr>
      <w:r w:rsidRPr="00AF0E93">
        <w:rPr>
          <w:b/>
        </w:rPr>
        <w:t>CLÁUSULA SEGUNDA.- (OBLIGACIONES).</w:t>
      </w:r>
    </w:p>
    <w:p w:rsidR="00FC52AB" w:rsidRDefault="00FC52AB" w:rsidP="006116AF">
      <w:pPr>
        <w:pStyle w:val="Prrafodelista"/>
        <w:numPr>
          <w:ilvl w:val="0"/>
          <w:numId w:val="3"/>
        </w:numPr>
        <w:jc w:val="both"/>
        <w:rPr>
          <w:rFonts w:cstheme="minorHAnsi"/>
        </w:rPr>
      </w:pPr>
      <w:r w:rsidRPr="00F3308D">
        <w:rPr>
          <w:rFonts w:cstheme="minorHAnsi"/>
        </w:rPr>
        <w:t xml:space="preserve">El </w:t>
      </w:r>
      <w:r w:rsidR="003E0335" w:rsidRPr="004660BE">
        <w:rPr>
          <w:b/>
          <w:color w:val="FF0000"/>
        </w:rPr>
        <w:t>“_”</w:t>
      </w:r>
      <w:r w:rsidRPr="00F3308D">
        <w:rPr>
          <w:rFonts w:cstheme="minorHAnsi"/>
        </w:rPr>
        <w:t>,</w:t>
      </w:r>
      <w:r w:rsidRPr="00F3308D">
        <w:rPr>
          <w:rFonts w:cstheme="minorHAnsi"/>
          <w:b/>
        </w:rPr>
        <w:t xml:space="preserve"> </w:t>
      </w:r>
      <w:r w:rsidRPr="00F3308D">
        <w:rPr>
          <w:rFonts w:cstheme="minorHAnsi"/>
        </w:rPr>
        <w:t xml:space="preserve">se obliga a: </w:t>
      </w:r>
    </w:p>
    <w:p w:rsidR="006116AF" w:rsidRPr="006116AF" w:rsidRDefault="006116AF" w:rsidP="006116AF">
      <w:pPr>
        <w:pStyle w:val="Prrafodelista"/>
        <w:jc w:val="both"/>
        <w:rPr>
          <w:rFonts w:cstheme="minorHAnsi"/>
        </w:rPr>
      </w:pPr>
    </w:p>
    <w:p w:rsidR="00FC52AB" w:rsidRPr="00F3308D" w:rsidRDefault="00FC52AB" w:rsidP="006116AF">
      <w:pPr>
        <w:pStyle w:val="Prrafodelista"/>
        <w:numPr>
          <w:ilvl w:val="0"/>
          <w:numId w:val="4"/>
        </w:numPr>
        <w:ind w:left="1418" w:hanging="284"/>
        <w:jc w:val="both"/>
        <w:rPr>
          <w:rFonts w:cstheme="minorHAnsi"/>
        </w:rPr>
      </w:pPr>
      <w:r w:rsidRPr="00F3308D">
        <w:rPr>
          <w:rFonts w:cstheme="minorHAnsi"/>
        </w:rPr>
        <w:t>Adoptar las medidas administrativas necesarias para hacer efectivas las obligaciones contraídas en el presente convenio;</w:t>
      </w:r>
    </w:p>
    <w:p w:rsidR="00FC52AB" w:rsidRDefault="00FC52AB" w:rsidP="006116AF">
      <w:pPr>
        <w:pStyle w:val="Prrafodelista"/>
        <w:numPr>
          <w:ilvl w:val="0"/>
          <w:numId w:val="4"/>
        </w:numPr>
        <w:jc w:val="both"/>
        <w:rPr>
          <w:rFonts w:cstheme="minorHAnsi"/>
        </w:rPr>
      </w:pPr>
      <w:r w:rsidRPr="00F3308D">
        <w:rPr>
          <w:rFonts w:cstheme="minorHAnsi"/>
        </w:rPr>
        <w:t>Poner a disposición de la sociedad mexicana un sitio web para la presentación electrónica de demandas de juicios de amparo directo cuando alguno de los órganos jurisdiccionales que integran ese tribunal sea señalado como autoridad responsable en términos del artículo 176 de la Ley de Amparo.</w:t>
      </w:r>
    </w:p>
    <w:p w:rsidR="00AC6B72" w:rsidRPr="00F3308D" w:rsidRDefault="00AC6B72" w:rsidP="00AC6B72">
      <w:pPr>
        <w:pStyle w:val="Prrafodelista"/>
        <w:ind w:left="1440"/>
        <w:jc w:val="both"/>
        <w:rPr>
          <w:rFonts w:cstheme="minorHAnsi"/>
        </w:rPr>
      </w:pPr>
    </w:p>
    <w:p w:rsidR="00FC52AB" w:rsidRDefault="00FC52AB" w:rsidP="006116AF">
      <w:pPr>
        <w:pStyle w:val="Prrafodelista"/>
        <w:ind w:left="1440"/>
        <w:jc w:val="both"/>
        <w:rPr>
          <w:rFonts w:cstheme="minorHAnsi"/>
        </w:rPr>
      </w:pPr>
      <w:r w:rsidRPr="00F3308D">
        <w:rPr>
          <w:rFonts w:cstheme="minorHAnsi"/>
        </w:rPr>
        <w:t>Este sitio web también recibirá promociones electrónicas relacionadas con los juicios de a</w:t>
      </w:r>
      <w:r w:rsidR="00764CD1">
        <w:rPr>
          <w:rFonts w:cstheme="minorHAnsi"/>
        </w:rPr>
        <w:t>mparo directo que se promuevan</w:t>
      </w:r>
      <w:r w:rsidRPr="00F3308D">
        <w:rPr>
          <w:rFonts w:cstheme="minorHAnsi"/>
        </w:rPr>
        <w:t xml:space="preserve"> y operará bajo los siguientes estándares:</w:t>
      </w:r>
    </w:p>
    <w:p w:rsidR="00AC6B72" w:rsidRPr="00F3308D" w:rsidRDefault="00AC6B72" w:rsidP="006116AF">
      <w:pPr>
        <w:pStyle w:val="Prrafodelista"/>
        <w:ind w:left="1440"/>
        <w:jc w:val="both"/>
        <w:rPr>
          <w:rFonts w:cstheme="minorHAnsi"/>
        </w:rPr>
      </w:pPr>
    </w:p>
    <w:p w:rsidR="00AC6B72" w:rsidRDefault="00FC52AB" w:rsidP="00AC6B72">
      <w:pPr>
        <w:pStyle w:val="Prrafodelista"/>
        <w:numPr>
          <w:ilvl w:val="0"/>
          <w:numId w:val="7"/>
        </w:numPr>
        <w:jc w:val="both"/>
        <w:rPr>
          <w:rFonts w:cstheme="minorHAnsi"/>
        </w:rPr>
      </w:pPr>
      <w:r w:rsidRPr="00F3308D">
        <w:rPr>
          <w:rFonts w:cstheme="minorHAnsi"/>
        </w:rPr>
        <w:t>Funcionará las veinticuatro horas del día</w:t>
      </w:r>
      <w:r w:rsidR="00AC6B72">
        <w:rPr>
          <w:rFonts w:cstheme="minorHAnsi"/>
        </w:rPr>
        <w:t xml:space="preserve"> todos los días del año</w:t>
      </w:r>
      <w:r w:rsidRPr="00F3308D">
        <w:rPr>
          <w:rFonts w:cstheme="minorHAnsi"/>
        </w:rPr>
        <w:t>.</w:t>
      </w:r>
    </w:p>
    <w:p w:rsidR="00AC6B72" w:rsidRDefault="00FC52AB" w:rsidP="00AC6B72">
      <w:pPr>
        <w:pStyle w:val="Prrafodelista"/>
        <w:numPr>
          <w:ilvl w:val="0"/>
          <w:numId w:val="7"/>
        </w:numPr>
        <w:jc w:val="both"/>
        <w:rPr>
          <w:rFonts w:cstheme="minorHAnsi"/>
        </w:rPr>
      </w:pPr>
      <w:r w:rsidRPr="00AC6B72">
        <w:rPr>
          <w:rFonts w:cstheme="minorHAnsi"/>
        </w:rPr>
        <w:t>Permitirá que las demandas de amparo directo y demás promociones sean firmados a través de la Firma Electrónica Certificada del P</w:t>
      </w:r>
      <w:r w:rsidR="00AC6B72" w:rsidRPr="00AC6B72">
        <w:rPr>
          <w:rFonts w:cstheme="minorHAnsi"/>
        </w:rPr>
        <w:t xml:space="preserve">oder Judicial de la Federación, en lo sucesivo </w:t>
      </w:r>
      <w:r w:rsidR="00AC6B72" w:rsidRPr="00AC6B72">
        <w:rPr>
          <w:rFonts w:cstheme="minorHAnsi"/>
          <w:b/>
        </w:rPr>
        <w:t>“FIREL”</w:t>
      </w:r>
      <w:r w:rsidR="00764CD1">
        <w:rPr>
          <w:rFonts w:cstheme="minorHAnsi"/>
        </w:rPr>
        <w:t xml:space="preserve"> o </w:t>
      </w:r>
      <w:r w:rsidR="00764CD1" w:rsidRPr="00F3308D">
        <w:rPr>
          <w:rFonts w:cstheme="minorHAnsi"/>
        </w:rPr>
        <w:t xml:space="preserve">con uso de firmas electrónicas reconocidas por </w:t>
      </w:r>
      <w:r w:rsidR="00764CD1" w:rsidRPr="00F3308D">
        <w:rPr>
          <w:rFonts w:cstheme="minorHAnsi"/>
          <w:b/>
        </w:rPr>
        <w:t>“LAS PARTES”</w:t>
      </w:r>
      <w:r w:rsidR="00764CD1" w:rsidRPr="00764CD1">
        <w:rPr>
          <w:rFonts w:cstheme="minorHAnsi"/>
        </w:rPr>
        <w:t>;</w:t>
      </w:r>
    </w:p>
    <w:p w:rsidR="00AC6B72" w:rsidRDefault="00FC52AB" w:rsidP="00AC6B72">
      <w:pPr>
        <w:pStyle w:val="Prrafodelista"/>
        <w:numPr>
          <w:ilvl w:val="0"/>
          <w:numId w:val="7"/>
        </w:numPr>
        <w:jc w:val="both"/>
        <w:rPr>
          <w:rFonts w:cstheme="minorHAnsi"/>
        </w:rPr>
      </w:pPr>
      <w:r w:rsidRPr="00AC6B72">
        <w:rPr>
          <w:rFonts w:cstheme="minorHAnsi"/>
        </w:rPr>
        <w:t>Aceptará formatos PDF y .</w:t>
      </w:r>
      <w:proofErr w:type="spellStart"/>
      <w:r w:rsidRPr="00AC6B72">
        <w:rPr>
          <w:rFonts w:cstheme="minorHAnsi"/>
        </w:rPr>
        <w:t>doc</w:t>
      </w:r>
      <w:proofErr w:type="spellEnd"/>
      <w:r w:rsidRPr="00AC6B72">
        <w:rPr>
          <w:rFonts w:cstheme="minorHAnsi"/>
        </w:rPr>
        <w:t>(x);</w:t>
      </w:r>
    </w:p>
    <w:p w:rsidR="00AC6B72" w:rsidRDefault="00FC52AB" w:rsidP="00AC6B72">
      <w:pPr>
        <w:pStyle w:val="Prrafodelista"/>
        <w:numPr>
          <w:ilvl w:val="0"/>
          <w:numId w:val="7"/>
        </w:numPr>
        <w:jc w:val="both"/>
        <w:rPr>
          <w:rFonts w:cstheme="minorHAnsi"/>
        </w:rPr>
      </w:pPr>
      <w:r w:rsidRPr="00AC6B72">
        <w:rPr>
          <w:rFonts w:cstheme="minorHAnsi"/>
        </w:rPr>
        <w:t>Contará con un módulo para la presentación de promociones electrónicas;</w:t>
      </w:r>
    </w:p>
    <w:p w:rsidR="00AC6B72" w:rsidRDefault="00FC52AB" w:rsidP="00AC6B72">
      <w:pPr>
        <w:pStyle w:val="Prrafodelista"/>
        <w:numPr>
          <w:ilvl w:val="0"/>
          <w:numId w:val="7"/>
        </w:numPr>
        <w:jc w:val="both"/>
        <w:rPr>
          <w:rFonts w:cstheme="minorHAnsi"/>
        </w:rPr>
      </w:pPr>
      <w:r w:rsidRPr="00AC6B72">
        <w:rPr>
          <w:rFonts w:cstheme="minorHAnsi"/>
        </w:rPr>
        <w:t>Presentación de anexos; y</w:t>
      </w:r>
    </w:p>
    <w:p w:rsidR="00FC52AB" w:rsidRPr="00AC6B72" w:rsidRDefault="00FC52AB" w:rsidP="00AC6B72">
      <w:pPr>
        <w:pStyle w:val="Prrafodelista"/>
        <w:numPr>
          <w:ilvl w:val="0"/>
          <w:numId w:val="7"/>
        </w:numPr>
        <w:jc w:val="both"/>
        <w:rPr>
          <w:rFonts w:cstheme="minorHAnsi"/>
        </w:rPr>
      </w:pPr>
      <w:r w:rsidRPr="00AC6B72">
        <w:rPr>
          <w:rFonts w:cstheme="minorHAnsi"/>
        </w:rPr>
        <w:t xml:space="preserve">Contará con un </w:t>
      </w:r>
      <w:proofErr w:type="spellStart"/>
      <w:r w:rsidRPr="00AC6B72">
        <w:rPr>
          <w:rFonts w:cstheme="minorHAnsi"/>
        </w:rPr>
        <w:t>subvínculo</w:t>
      </w:r>
      <w:proofErr w:type="spellEnd"/>
      <w:r w:rsidRPr="00AC6B72">
        <w:rPr>
          <w:rFonts w:cstheme="minorHAnsi"/>
        </w:rPr>
        <w:t xml:space="preserve"> denominado “Aviso de fallas técnicas”.</w:t>
      </w:r>
    </w:p>
    <w:p w:rsidR="00FC52AB" w:rsidRPr="00F3308D" w:rsidRDefault="00FC52AB" w:rsidP="006116AF">
      <w:pPr>
        <w:pStyle w:val="Prrafodelista"/>
        <w:ind w:left="2160"/>
        <w:jc w:val="both"/>
        <w:rPr>
          <w:rFonts w:cstheme="minorHAnsi"/>
        </w:rPr>
      </w:pPr>
    </w:p>
    <w:p w:rsidR="00FC52AB" w:rsidRPr="00F3308D" w:rsidRDefault="00FC52AB" w:rsidP="006116AF">
      <w:pPr>
        <w:pStyle w:val="Prrafodelista"/>
        <w:numPr>
          <w:ilvl w:val="0"/>
          <w:numId w:val="4"/>
        </w:numPr>
        <w:jc w:val="both"/>
        <w:rPr>
          <w:rFonts w:cstheme="minorHAnsi"/>
        </w:rPr>
      </w:pPr>
      <w:r w:rsidRPr="00F3308D">
        <w:rPr>
          <w:rFonts w:cstheme="minorHAnsi"/>
        </w:rPr>
        <w:t>Que los órganos jurisdiccionales que lo conforman cuando sean señalados como autoridades responsables en los juicios de amparo, rendirán electrónicamente sus informes ante los Juzgados de</w:t>
      </w:r>
      <w:bookmarkStart w:id="0" w:name="_GoBack"/>
      <w:bookmarkEnd w:id="0"/>
      <w:r w:rsidRPr="00F3308D">
        <w:rPr>
          <w:rFonts w:cstheme="minorHAnsi"/>
        </w:rPr>
        <w:t xml:space="preserve"> Distrito y Tribunales de Circuito con uso de firmas electrónicas reconocidas por </w:t>
      </w:r>
      <w:r w:rsidRPr="00F3308D">
        <w:rPr>
          <w:rFonts w:cstheme="minorHAnsi"/>
          <w:b/>
        </w:rPr>
        <w:t>“LAS PARTES”</w:t>
      </w:r>
      <w:r w:rsidRPr="00F3308D">
        <w:rPr>
          <w:rFonts w:cstheme="minorHAnsi"/>
        </w:rPr>
        <w:t>, y atenderán cualquier requerimiento de estos en esa vía.</w:t>
      </w:r>
    </w:p>
    <w:p w:rsidR="00FC52AB" w:rsidRPr="00F3308D" w:rsidRDefault="00FC52AB" w:rsidP="006116AF">
      <w:pPr>
        <w:pStyle w:val="Prrafodelista"/>
        <w:ind w:left="2160"/>
        <w:jc w:val="both"/>
        <w:rPr>
          <w:rFonts w:cstheme="minorHAnsi"/>
        </w:rPr>
      </w:pPr>
    </w:p>
    <w:p w:rsidR="00FC52AB" w:rsidRDefault="00FC52AB" w:rsidP="006116AF">
      <w:pPr>
        <w:pStyle w:val="Prrafodelista"/>
        <w:ind w:left="1440"/>
        <w:jc w:val="both"/>
        <w:rPr>
          <w:rFonts w:cstheme="minorHAnsi"/>
        </w:rPr>
      </w:pPr>
      <w:r w:rsidRPr="00F3308D">
        <w:rPr>
          <w:rFonts w:cstheme="minorHAnsi"/>
        </w:rPr>
        <w:lastRenderedPageBreak/>
        <w:t>Asimismo, otorgarán acceso a los Juzgados de Distrito y Tribunales de Circuito que conozcan de los juicios de amparo en que sean señalados como autoridades responsables, a los expedientes electrónicos y carpetas digitales de los juicios, recursos o medios de defensa legal de origen.</w:t>
      </w:r>
    </w:p>
    <w:p w:rsidR="00AC6B72" w:rsidRPr="00F3308D" w:rsidRDefault="00AC6B72" w:rsidP="006116AF">
      <w:pPr>
        <w:pStyle w:val="Prrafodelista"/>
        <w:ind w:left="1440"/>
        <w:jc w:val="both"/>
        <w:rPr>
          <w:rFonts w:cstheme="minorHAnsi"/>
        </w:rPr>
      </w:pPr>
    </w:p>
    <w:p w:rsidR="00FC52AB" w:rsidRPr="00AC6B72" w:rsidRDefault="00FC52AB" w:rsidP="00AC6B72">
      <w:pPr>
        <w:pStyle w:val="Prrafodelista"/>
        <w:numPr>
          <w:ilvl w:val="0"/>
          <w:numId w:val="3"/>
        </w:numPr>
        <w:jc w:val="both"/>
        <w:rPr>
          <w:rFonts w:cstheme="minorHAnsi"/>
        </w:rPr>
      </w:pPr>
      <w:r w:rsidRPr="00F3308D">
        <w:rPr>
          <w:rFonts w:cstheme="minorHAnsi"/>
        </w:rPr>
        <w:t xml:space="preserve">La </w:t>
      </w:r>
      <w:r w:rsidRPr="00F3308D">
        <w:rPr>
          <w:rFonts w:cstheme="minorHAnsi"/>
          <w:b/>
        </w:rPr>
        <w:t>“CJF”</w:t>
      </w:r>
      <w:r w:rsidR="00AC6B72">
        <w:rPr>
          <w:rFonts w:cstheme="minorHAnsi"/>
        </w:rPr>
        <w:t>, se obliga a p</w:t>
      </w:r>
      <w:r w:rsidRPr="00AC6B72">
        <w:rPr>
          <w:rFonts w:cstheme="minorHAnsi"/>
        </w:rPr>
        <w:t xml:space="preserve">roporcionar la asesoría y colaboración que requiera el </w:t>
      </w:r>
      <w:r w:rsidR="001059E4" w:rsidRPr="004660BE">
        <w:rPr>
          <w:b/>
          <w:color w:val="FF0000"/>
        </w:rPr>
        <w:t>“_”</w:t>
      </w:r>
      <w:r w:rsidRPr="00AC6B72">
        <w:rPr>
          <w:rFonts w:cstheme="minorHAnsi"/>
        </w:rPr>
        <w:t xml:space="preserve">, para la implementación y el uso del sistema de interconexión, así como, en los trámites o servicios electrónicos que realice el </w:t>
      </w:r>
      <w:r w:rsidR="001059E4" w:rsidRPr="004660BE">
        <w:rPr>
          <w:b/>
          <w:color w:val="FF0000"/>
        </w:rPr>
        <w:t>“_”</w:t>
      </w:r>
      <w:r w:rsidRPr="00AC6B72">
        <w:rPr>
          <w:rFonts w:cstheme="minorHAnsi"/>
        </w:rPr>
        <w:t>.</w:t>
      </w:r>
    </w:p>
    <w:p w:rsidR="00FC52AB" w:rsidRPr="00F3308D" w:rsidRDefault="00FC52AB" w:rsidP="006116AF">
      <w:pPr>
        <w:pStyle w:val="Prrafodelista"/>
        <w:jc w:val="both"/>
        <w:rPr>
          <w:rFonts w:cstheme="minorHAnsi"/>
        </w:rPr>
      </w:pPr>
    </w:p>
    <w:p w:rsidR="00FC52AB" w:rsidRPr="00AC6B72" w:rsidRDefault="00FC52AB" w:rsidP="00AC6B72">
      <w:pPr>
        <w:pStyle w:val="Prrafodelista"/>
        <w:numPr>
          <w:ilvl w:val="0"/>
          <w:numId w:val="3"/>
        </w:numPr>
        <w:jc w:val="both"/>
        <w:rPr>
          <w:rFonts w:cstheme="minorHAnsi"/>
        </w:rPr>
      </w:pPr>
      <w:r w:rsidRPr="00F3308D">
        <w:rPr>
          <w:rFonts w:cstheme="minorHAnsi"/>
          <w:b/>
        </w:rPr>
        <w:t>“LAS PARTES”</w:t>
      </w:r>
      <w:r w:rsidRPr="00F3308D">
        <w:rPr>
          <w:rFonts w:cstheme="minorHAnsi"/>
        </w:rPr>
        <w:t xml:space="preserve"> se obligan a:</w:t>
      </w:r>
    </w:p>
    <w:p w:rsidR="00FC52AB" w:rsidRPr="00F3308D" w:rsidRDefault="00FC52AB" w:rsidP="006116AF">
      <w:pPr>
        <w:pStyle w:val="Prrafodelista"/>
        <w:numPr>
          <w:ilvl w:val="0"/>
          <w:numId w:val="5"/>
        </w:numPr>
        <w:ind w:left="1418" w:hanging="284"/>
        <w:jc w:val="both"/>
        <w:rPr>
          <w:rFonts w:cstheme="minorHAnsi"/>
        </w:rPr>
      </w:pPr>
      <w:r w:rsidRPr="00F3308D">
        <w:rPr>
          <w:rFonts w:cstheme="minorHAnsi"/>
        </w:rPr>
        <w:t>Que los órganos jurisdicc</w:t>
      </w:r>
      <w:r w:rsidR="008B2139">
        <w:rPr>
          <w:rFonts w:cstheme="minorHAnsi"/>
        </w:rPr>
        <w:t>ionales que administran o que la</w:t>
      </w:r>
      <w:r w:rsidRPr="00F3308D">
        <w:rPr>
          <w:rFonts w:cstheme="minorHAnsi"/>
        </w:rPr>
        <w:t>s conforman, integraran los expedientes electrónicos o carpetas digitales relativos a los juicios, recursos o medios de defensa que sean de su competencia en los sistemas de gestión jurisdiccional que operen en cada una de ellas, las cuales se ajustarán a lo siguiente:</w:t>
      </w:r>
    </w:p>
    <w:p w:rsidR="00FC52AB" w:rsidRDefault="00FC52AB" w:rsidP="006116AF">
      <w:pPr>
        <w:pStyle w:val="Prrafodelista"/>
        <w:ind w:left="1418"/>
        <w:jc w:val="both"/>
        <w:rPr>
          <w:rFonts w:cstheme="minorHAnsi"/>
        </w:rPr>
      </w:pPr>
    </w:p>
    <w:p w:rsidR="008B2139" w:rsidRDefault="00FC52AB" w:rsidP="008B2139">
      <w:pPr>
        <w:pStyle w:val="Prrafodelista"/>
        <w:numPr>
          <w:ilvl w:val="0"/>
          <w:numId w:val="8"/>
        </w:numPr>
        <w:jc w:val="both"/>
        <w:rPr>
          <w:rFonts w:cstheme="minorHAnsi"/>
        </w:rPr>
      </w:pPr>
      <w:r w:rsidRPr="008B2139">
        <w:rPr>
          <w:rFonts w:cstheme="minorHAnsi"/>
        </w:rPr>
        <w:t>Cada promoción, resolución judicial y constancia de notificación conformará un archivo digital en formato PDF o .</w:t>
      </w:r>
      <w:proofErr w:type="spellStart"/>
      <w:r w:rsidRPr="008B2139">
        <w:rPr>
          <w:rFonts w:cstheme="minorHAnsi"/>
        </w:rPr>
        <w:t>doc</w:t>
      </w:r>
      <w:proofErr w:type="spellEnd"/>
      <w:r w:rsidRPr="008B2139">
        <w:rPr>
          <w:rFonts w:cstheme="minorHAnsi"/>
        </w:rPr>
        <w:t>(x);</w:t>
      </w:r>
    </w:p>
    <w:p w:rsidR="008B2139" w:rsidRDefault="00FC52AB" w:rsidP="008B2139">
      <w:pPr>
        <w:pStyle w:val="Prrafodelista"/>
        <w:numPr>
          <w:ilvl w:val="0"/>
          <w:numId w:val="8"/>
        </w:numPr>
        <w:jc w:val="both"/>
        <w:rPr>
          <w:rFonts w:cstheme="minorHAnsi"/>
        </w:rPr>
      </w:pPr>
      <w:r w:rsidRPr="008B2139">
        <w:rPr>
          <w:rFonts w:cstheme="minorHAnsi"/>
        </w:rPr>
        <w:t>Las constancias se integrarán de manera cronológica;</w:t>
      </w:r>
    </w:p>
    <w:p w:rsidR="00FC52AB" w:rsidRPr="008B2139" w:rsidRDefault="00FC52AB" w:rsidP="008B2139">
      <w:pPr>
        <w:pStyle w:val="Prrafodelista"/>
        <w:numPr>
          <w:ilvl w:val="0"/>
          <w:numId w:val="8"/>
        </w:numPr>
        <w:jc w:val="both"/>
        <w:rPr>
          <w:rFonts w:cstheme="minorHAnsi"/>
        </w:rPr>
      </w:pPr>
      <w:r w:rsidRPr="008B2139">
        <w:rPr>
          <w:rFonts w:cstheme="minorHAnsi"/>
        </w:rPr>
        <w:t xml:space="preserve">Cada constancia de los asuntos será firmada digitalmente a través de </w:t>
      </w:r>
      <w:r w:rsidRPr="008B2139">
        <w:rPr>
          <w:rFonts w:eastAsia="Times New Roman" w:cstheme="minorHAnsi"/>
        </w:rPr>
        <w:t xml:space="preserve">la </w:t>
      </w:r>
      <w:r w:rsidR="008B2139" w:rsidRPr="00AC6B72">
        <w:rPr>
          <w:rFonts w:cstheme="minorHAnsi"/>
          <w:b/>
        </w:rPr>
        <w:t>“FIREL”</w:t>
      </w:r>
      <w:r w:rsidR="00764CD1">
        <w:rPr>
          <w:rFonts w:cstheme="minorHAnsi"/>
          <w:b/>
        </w:rPr>
        <w:t xml:space="preserve"> </w:t>
      </w:r>
      <w:r w:rsidR="00764CD1" w:rsidRPr="00764CD1">
        <w:rPr>
          <w:rFonts w:cstheme="minorHAnsi"/>
        </w:rPr>
        <w:t>o</w:t>
      </w:r>
      <w:r w:rsidR="00764CD1">
        <w:rPr>
          <w:rFonts w:cstheme="minorHAnsi"/>
          <w:b/>
        </w:rPr>
        <w:t xml:space="preserve"> </w:t>
      </w:r>
      <w:r w:rsidR="00764CD1" w:rsidRPr="00F3308D">
        <w:rPr>
          <w:rFonts w:cstheme="minorHAnsi"/>
        </w:rPr>
        <w:t xml:space="preserve">con uso de firmas electrónicas reconocidas por </w:t>
      </w:r>
      <w:r w:rsidR="00764CD1" w:rsidRPr="00F3308D">
        <w:rPr>
          <w:rFonts w:cstheme="minorHAnsi"/>
          <w:b/>
        </w:rPr>
        <w:t>“LAS PARTES”</w:t>
      </w:r>
      <w:r w:rsidR="008B2139">
        <w:rPr>
          <w:rFonts w:cstheme="minorHAnsi"/>
          <w:b/>
        </w:rPr>
        <w:t xml:space="preserve"> </w:t>
      </w:r>
      <w:r w:rsidRPr="008B2139">
        <w:rPr>
          <w:rFonts w:eastAsia="Times New Roman" w:cstheme="minorHAnsi"/>
        </w:rPr>
        <w:t>y podrá visualizarse una evidencia criptográfica en la parte inferior y al final de cada documento con los siguientes datos:</w:t>
      </w:r>
    </w:p>
    <w:p w:rsidR="00FC52AB" w:rsidRPr="0059589A" w:rsidRDefault="00FC52AB" w:rsidP="006116AF">
      <w:pPr>
        <w:pStyle w:val="Prrafodelista"/>
        <w:ind w:left="2127"/>
        <w:jc w:val="both"/>
        <w:rPr>
          <w:rFonts w:ascii="Arial" w:hAnsi="Arial" w:cs="Arial"/>
          <w:sz w:val="24"/>
          <w:szCs w:val="24"/>
        </w:rPr>
      </w:pPr>
    </w:p>
    <w:p w:rsidR="00FC52AB" w:rsidRDefault="00FC52AB" w:rsidP="006116AF">
      <w:pPr>
        <w:pStyle w:val="Default"/>
        <w:rPr>
          <w:sz w:val="22"/>
          <w:szCs w:val="22"/>
        </w:rPr>
      </w:pPr>
      <w:r>
        <w:rPr>
          <w:b/>
          <w:bCs/>
          <w:sz w:val="22"/>
          <w:szCs w:val="22"/>
        </w:rPr>
        <w:t xml:space="preserve">Evidencia Criptográfica – Transacción </w:t>
      </w:r>
    </w:p>
    <w:p w:rsidR="00FC52AB" w:rsidRDefault="00FC52AB" w:rsidP="006116AF">
      <w:pPr>
        <w:pStyle w:val="Default"/>
        <w:rPr>
          <w:b/>
          <w:bCs/>
          <w:sz w:val="22"/>
          <w:szCs w:val="22"/>
        </w:rPr>
      </w:pPr>
      <w:r>
        <w:rPr>
          <w:b/>
          <w:bCs/>
          <w:sz w:val="22"/>
          <w:szCs w:val="22"/>
        </w:rPr>
        <w:t xml:space="preserve">Archivo Firmado: </w:t>
      </w:r>
    </w:p>
    <w:p w:rsidR="00FC52AB" w:rsidRDefault="00FC52AB" w:rsidP="006116AF">
      <w:pPr>
        <w:pStyle w:val="Default"/>
        <w:rPr>
          <w:sz w:val="22"/>
          <w:szCs w:val="22"/>
        </w:rPr>
      </w:pPr>
      <w:r>
        <w:rPr>
          <w:b/>
          <w:bCs/>
          <w:sz w:val="22"/>
          <w:szCs w:val="22"/>
        </w:rPr>
        <w:t xml:space="preserve">Autoridad Certificadora: </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2836"/>
        <w:gridCol w:w="2268"/>
        <w:gridCol w:w="1144"/>
        <w:gridCol w:w="490"/>
        <w:gridCol w:w="531"/>
      </w:tblGrid>
      <w:tr w:rsidR="00FC52AB" w:rsidTr="00BB123D">
        <w:trPr>
          <w:trHeight w:val="89"/>
        </w:trPr>
        <w:tc>
          <w:tcPr>
            <w:tcW w:w="1808" w:type="dxa"/>
          </w:tcPr>
          <w:p w:rsidR="00FC52AB" w:rsidRDefault="00FC52AB" w:rsidP="006116AF">
            <w:pPr>
              <w:pStyle w:val="Default"/>
              <w:rPr>
                <w:sz w:val="18"/>
                <w:szCs w:val="18"/>
              </w:rPr>
            </w:pPr>
            <w:r>
              <w:rPr>
                <w:b/>
                <w:bCs/>
                <w:sz w:val="18"/>
                <w:szCs w:val="18"/>
              </w:rPr>
              <w:t xml:space="preserve">Firmante </w:t>
            </w:r>
          </w:p>
        </w:tc>
        <w:tc>
          <w:tcPr>
            <w:tcW w:w="2836" w:type="dxa"/>
          </w:tcPr>
          <w:p w:rsidR="00FC52AB" w:rsidRDefault="00FC52AB" w:rsidP="006116AF">
            <w:pPr>
              <w:pStyle w:val="Default"/>
              <w:rPr>
                <w:sz w:val="18"/>
                <w:szCs w:val="18"/>
              </w:rPr>
            </w:pPr>
            <w:r>
              <w:rPr>
                <w:b/>
                <w:bCs/>
                <w:sz w:val="18"/>
                <w:szCs w:val="18"/>
              </w:rPr>
              <w:t xml:space="preserve">Nombre: </w:t>
            </w:r>
          </w:p>
        </w:tc>
        <w:tc>
          <w:tcPr>
            <w:tcW w:w="2268" w:type="dxa"/>
          </w:tcPr>
          <w:p w:rsidR="00FC52AB" w:rsidRDefault="00FC52AB" w:rsidP="006116AF">
            <w:pPr>
              <w:pStyle w:val="Default"/>
              <w:rPr>
                <w:sz w:val="18"/>
                <w:szCs w:val="18"/>
              </w:rPr>
            </w:pPr>
          </w:p>
        </w:tc>
        <w:tc>
          <w:tcPr>
            <w:tcW w:w="1144" w:type="dxa"/>
          </w:tcPr>
          <w:p w:rsidR="00FC52AB" w:rsidRDefault="00FC52AB" w:rsidP="006116AF">
            <w:pPr>
              <w:pStyle w:val="Default"/>
              <w:rPr>
                <w:sz w:val="18"/>
                <w:szCs w:val="18"/>
              </w:rPr>
            </w:pPr>
            <w:r>
              <w:rPr>
                <w:b/>
                <w:bCs/>
                <w:sz w:val="18"/>
                <w:szCs w:val="18"/>
              </w:rPr>
              <w:t xml:space="preserve">Validez: </w:t>
            </w:r>
          </w:p>
        </w:tc>
        <w:tc>
          <w:tcPr>
            <w:tcW w:w="490" w:type="dxa"/>
          </w:tcPr>
          <w:p w:rsidR="00FC52AB" w:rsidRDefault="00FC52AB" w:rsidP="006116AF">
            <w:pPr>
              <w:pStyle w:val="Default"/>
              <w:rPr>
                <w:sz w:val="18"/>
                <w:szCs w:val="18"/>
              </w:rPr>
            </w:pPr>
          </w:p>
        </w:tc>
        <w:tc>
          <w:tcPr>
            <w:tcW w:w="531" w:type="dxa"/>
          </w:tcPr>
          <w:p w:rsidR="00FC52AB" w:rsidRDefault="00FC52AB" w:rsidP="006116AF">
            <w:pPr>
              <w:pStyle w:val="Default"/>
              <w:rPr>
                <w:sz w:val="18"/>
                <w:szCs w:val="18"/>
              </w:rPr>
            </w:pPr>
            <w:r>
              <w:rPr>
                <w:sz w:val="18"/>
                <w:szCs w:val="18"/>
              </w:rPr>
              <w:t xml:space="preserve"> </w:t>
            </w:r>
          </w:p>
        </w:tc>
      </w:tr>
      <w:tr w:rsidR="00FC52AB" w:rsidTr="00BB123D">
        <w:trPr>
          <w:trHeight w:val="89"/>
        </w:trPr>
        <w:tc>
          <w:tcPr>
            <w:tcW w:w="1808" w:type="dxa"/>
            <w:vMerge w:val="restart"/>
            <w:vAlign w:val="center"/>
          </w:tcPr>
          <w:p w:rsidR="00FC52AB" w:rsidRDefault="00FC52AB" w:rsidP="006116AF">
            <w:pPr>
              <w:pStyle w:val="Default"/>
              <w:rPr>
                <w:sz w:val="18"/>
                <w:szCs w:val="18"/>
              </w:rPr>
            </w:pPr>
            <w:r>
              <w:rPr>
                <w:b/>
                <w:bCs/>
                <w:sz w:val="18"/>
                <w:szCs w:val="18"/>
              </w:rPr>
              <w:t xml:space="preserve">Firma </w:t>
            </w:r>
          </w:p>
        </w:tc>
        <w:tc>
          <w:tcPr>
            <w:tcW w:w="2836" w:type="dxa"/>
          </w:tcPr>
          <w:p w:rsidR="00FC52AB" w:rsidRDefault="00FC52AB" w:rsidP="006116AF">
            <w:pPr>
              <w:pStyle w:val="Default"/>
              <w:rPr>
                <w:sz w:val="18"/>
                <w:szCs w:val="18"/>
              </w:rPr>
            </w:pPr>
            <w:r>
              <w:rPr>
                <w:b/>
                <w:bCs/>
                <w:sz w:val="18"/>
                <w:szCs w:val="18"/>
              </w:rPr>
              <w:t xml:space="preserve"># Serie: </w:t>
            </w:r>
          </w:p>
        </w:tc>
        <w:tc>
          <w:tcPr>
            <w:tcW w:w="2268" w:type="dxa"/>
          </w:tcPr>
          <w:p w:rsidR="00FC52AB" w:rsidRDefault="00FC52AB" w:rsidP="006116AF">
            <w:pPr>
              <w:pStyle w:val="Default"/>
              <w:rPr>
                <w:sz w:val="18"/>
                <w:szCs w:val="18"/>
              </w:rPr>
            </w:pPr>
          </w:p>
        </w:tc>
        <w:tc>
          <w:tcPr>
            <w:tcW w:w="1144" w:type="dxa"/>
          </w:tcPr>
          <w:p w:rsidR="00FC52AB" w:rsidRDefault="00FC52AB" w:rsidP="006116AF">
            <w:pPr>
              <w:pStyle w:val="Default"/>
              <w:rPr>
                <w:sz w:val="18"/>
                <w:szCs w:val="18"/>
              </w:rPr>
            </w:pPr>
            <w:r>
              <w:rPr>
                <w:b/>
                <w:bCs/>
                <w:sz w:val="18"/>
                <w:szCs w:val="18"/>
              </w:rPr>
              <w:t xml:space="preserve">Revocación: </w:t>
            </w:r>
          </w:p>
        </w:tc>
        <w:tc>
          <w:tcPr>
            <w:tcW w:w="490" w:type="dxa"/>
          </w:tcPr>
          <w:p w:rsidR="00FC52AB" w:rsidRDefault="00FC52AB" w:rsidP="006116AF">
            <w:pPr>
              <w:pStyle w:val="Default"/>
              <w:rPr>
                <w:sz w:val="18"/>
                <w:szCs w:val="18"/>
              </w:rPr>
            </w:pPr>
          </w:p>
        </w:tc>
        <w:tc>
          <w:tcPr>
            <w:tcW w:w="531" w:type="dxa"/>
          </w:tcPr>
          <w:p w:rsidR="00FC52AB" w:rsidRDefault="00FC52AB" w:rsidP="006116AF">
            <w:pPr>
              <w:pStyle w:val="Default"/>
              <w:rPr>
                <w:sz w:val="18"/>
                <w:szCs w:val="18"/>
              </w:rPr>
            </w:pPr>
          </w:p>
        </w:tc>
      </w:tr>
      <w:tr w:rsidR="00FC52AB" w:rsidTr="00BB123D">
        <w:trPr>
          <w:trHeight w:val="197"/>
        </w:trPr>
        <w:tc>
          <w:tcPr>
            <w:tcW w:w="1808" w:type="dxa"/>
            <w:vMerge/>
          </w:tcPr>
          <w:p w:rsidR="00FC52AB" w:rsidRDefault="00FC52AB" w:rsidP="006116AF">
            <w:pPr>
              <w:pStyle w:val="Default"/>
              <w:rPr>
                <w:sz w:val="18"/>
                <w:szCs w:val="18"/>
              </w:rPr>
            </w:pPr>
          </w:p>
        </w:tc>
        <w:tc>
          <w:tcPr>
            <w:tcW w:w="2836" w:type="dxa"/>
          </w:tcPr>
          <w:p w:rsidR="00FC52AB" w:rsidRDefault="00FC52AB" w:rsidP="006116AF">
            <w:pPr>
              <w:pStyle w:val="Default"/>
              <w:rPr>
                <w:sz w:val="18"/>
                <w:szCs w:val="18"/>
              </w:rPr>
            </w:pPr>
            <w:r>
              <w:rPr>
                <w:b/>
                <w:bCs/>
                <w:sz w:val="18"/>
                <w:szCs w:val="18"/>
              </w:rPr>
              <w:t>Fecha: (UTC / Entidad Federativa)</w:t>
            </w:r>
          </w:p>
        </w:tc>
        <w:tc>
          <w:tcPr>
            <w:tcW w:w="2268" w:type="dxa"/>
          </w:tcPr>
          <w:p w:rsidR="00FC52AB" w:rsidRDefault="00FC52AB" w:rsidP="006116AF">
            <w:pPr>
              <w:pStyle w:val="Default"/>
              <w:rPr>
                <w:sz w:val="18"/>
                <w:szCs w:val="18"/>
              </w:rPr>
            </w:pPr>
          </w:p>
        </w:tc>
        <w:tc>
          <w:tcPr>
            <w:tcW w:w="1144" w:type="dxa"/>
          </w:tcPr>
          <w:p w:rsidR="00FC52AB" w:rsidRDefault="00FC52AB" w:rsidP="006116AF">
            <w:pPr>
              <w:pStyle w:val="Default"/>
              <w:rPr>
                <w:sz w:val="18"/>
                <w:szCs w:val="18"/>
              </w:rPr>
            </w:pPr>
            <w:r>
              <w:rPr>
                <w:b/>
                <w:bCs/>
                <w:sz w:val="18"/>
                <w:szCs w:val="18"/>
              </w:rPr>
              <w:t xml:space="preserve">Status </w:t>
            </w:r>
          </w:p>
        </w:tc>
        <w:tc>
          <w:tcPr>
            <w:tcW w:w="490" w:type="dxa"/>
          </w:tcPr>
          <w:p w:rsidR="00FC52AB" w:rsidRDefault="00FC52AB" w:rsidP="006116AF">
            <w:pPr>
              <w:pStyle w:val="Default"/>
              <w:rPr>
                <w:sz w:val="18"/>
                <w:szCs w:val="18"/>
              </w:rPr>
            </w:pPr>
          </w:p>
        </w:tc>
        <w:tc>
          <w:tcPr>
            <w:tcW w:w="531" w:type="dxa"/>
          </w:tcPr>
          <w:p w:rsidR="00FC52AB" w:rsidRDefault="00FC52AB" w:rsidP="006116AF">
            <w:pPr>
              <w:pStyle w:val="Default"/>
              <w:rPr>
                <w:sz w:val="18"/>
                <w:szCs w:val="18"/>
              </w:rPr>
            </w:pPr>
          </w:p>
        </w:tc>
      </w:tr>
      <w:tr w:rsidR="00FC52AB" w:rsidTr="00BB123D">
        <w:trPr>
          <w:trHeight w:val="89"/>
        </w:trPr>
        <w:tc>
          <w:tcPr>
            <w:tcW w:w="1808" w:type="dxa"/>
            <w:vMerge/>
          </w:tcPr>
          <w:p w:rsidR="00FC52AB" w:rsidRDefault="00FC52AB" w:rsidP="006116AF">
            <w:pPr>
              <w:pStyle w:val="Default"/>
              <w:rPr>
                <w:sz w:val="18"/>
                <w:szCs w:val="18"/>
              </w:rPr>
            </w:pPr>
          </w:p>
        </w:tc>
        <w:tc>
          <w:tcPr>
            <w:tcW w:w="2836" w:type="dxa"/>
          </w:tcPr>
          <w:p w:rsidR="00FC52AB" w:rsidRDefault="00FC52AB" w:rsidP="006116AF">
            <w:pPr>
              <w:pStyle w:val="Default"/>
              <w:rPr>
                <w:sz w:val="18"/>
                <w:szCs w:val="18"/>
              </w:rPr>
            </w:pPr>
            <w:r>
              <w:rPr>
                <w:b/>
                <w:bCs/>
                <w:sz w:val="18"/>
                <w:szCs w:val="18"/>
              </w:rPr>
              <w:t>Algoritmo:</w:t>
            </w:r>
          </w:p>
        </w:tc>
        <w:tc>
          <w:tcPr>
            <w:tcW w:w="4433" w:type="dxa"/>
            <w:gridSpan w:val="4"/>
          </w:tcPr>
          <w:p w:rsidR="00FC52AB" w:rsidRDefault="00FC52AB" w:rsidP="006116AF">
            <w:pPr>
              <w:pStyle w:val="Default"/>
              <w:rPr>
                <w:sz w:val="18"/>
                <w:szCs w:val="18"/>
              </w:rPr>
            </w:pPr>
          </w:p>
        </w:tc>
      </w:tr>
      <w:tr w:rsidR="00FC52AB" w:rsidTr="00BB123D">
        <w:trPr>
          <w:trHeight w:val="89"/>
        </w:trPr>
        <w:tc>
          <w:tcPr>
            <w:tcW w:w="1808" w:type="dxa"/>
            <w:vMerge/>
          </w:tcPr>
          <w:p w:rsidR="00FC52AB" w:rsidRDefault="00FC52AB" w:rsidP="006116AF">
            <w:pPr>
              <w:pStyle w:val="Default"/>
              <w:rPr>
                <w:sz w:val="18"/>
                <w:szCs w:val="18"/>
              </w:rPr>
            </w:pPr>
          </w:p>
        </w:tc>
        <w:tc>
          <w:tcPr>
            <w:tcW w:w="2836" w:type="dxa"/>
          </w:tcPr>
          <w:p w:rsidR="00FC52AB" w:rsidRDefault="00FC52AB" w:rsidP="006116AF">
            <w:pPr>
              <w:pStyle w:val="Default"/>
              <w:rPr>
                <w:sz w:val="18"/>
                <w:szCs w:val="18"/>
              </w:rPr>
            </w:pPr>
            <w:r>
              <w:rPr>
                <w:b/>
                <w:bCs/>
                <w:sz w:val="18"/>
                <w:szCs w:val="18"/>
              </w:rPr>
              <w:t>Cadena de firma:</w:t>
            </w:r>
          </w:p>
        </w:tc>
        <w:tc>
          <w:tcPr>
            <w:tcW w:w="4433" w:type="dxa"/>
            <w:gridSpan w:val="4"/>
          </w:tcPr>
          <w:p w:rsidR="00FC52AB" w:rsidRDefault="00FC52AB" w:rsidP="006116AF">
            <w:pPr>
              <w:pStyle w:val="Default"/>
              <w:rPr>
                <w:sz w:val="18"/>
                <w:szCs w:val="18"/>
              </w:rPr>
            </w:pPr>
          </w:p>
        </w:tc>
      </w:tr>
      <w:tr w:rsidR="00FC52AB" w:rsidTr="00BB123D">
        <w:trPr>
          <w:trHeight w:val="198"/>
        </w:trPr>
        <w:tc>
          <w:tcPr>
            <w:tcW w:w="1808" w:type="dxa"/>
            <w:vMerge w:val="restart"/>
            <w:vAlign w:val="center"/>
          </w:tcPr>
          <w:p w:rsidR="00FC52AB" w:rsidRDefault="00FC52AB" w:rsidP="006116AF">
            <w:pPr>
              <w:pStyle w:val="Default"/>
              <w:rPr>
                <w:sz w:val="18"/>
                <w:szCs w:val="18"/>
              </w:rPr>
            </w:pPr>
            <w:r>
              <w:rPr>
                <w:b/>
                <w:bCs/>
                <w:sz w:val="18"/>
                <w:szCs w:val="18"/>
              </w:rPr>
              <w:t>OCSP</w:t>
            </w:r>
          </w:p>
        </w:tc>
        <w:tc>
          <w:tcPr>
            <w:tcW w:w="2836" w:type="dxa"/>
          </w:tcPr>
          <w:p w:rsidR="00FC52AB" w:rsidRDefault="00FC52AB" w:rsidP="006116AF">
            <w:pPr>
              <w:pStyle w:val="Default"/>
              <w:rPr>
                <w:sz w:val="18"/>
                <w:szCs w:val="18"/>
              </w:rPr>
            </w:pPr>
            <w:r>
              <w:rPr>
                <w:b/>
                <w:bCs/>
                <w:sz w:val="18"/>
                <w:szCs w:val="18"/>
              </w:rPr>
              <w:t>Fecha: (UTC / Entidad Federativa)</w:t>
            </w:r>
          </w:p>
        </w:tc>
        <w:tc>
          <w:tcPr>
            <w:tcW w:w="4433" w:type="dxa"/>
            <w:gridSpan w:val="4"/>
          </w:tcPr>
          <w:p w:rsidR="00FC52AB" w:rsidRDefault="00FC52AB" w:rsidP="006116AF">
            <w:pPr>
              <w:pStyle w:val="Default"/>
              <w:rPr>
                <w:sz w:val="18"/>
                <w:szCs w:val="18"/>
              </w:rPr>
            </w:pPr>
          </w:p>
        </w:tc>
      </w:tr>
      <w:tr w:rsidR="00FC52AB" w:rsidTr="00BB123D">
        <w:trPr>
          <w:trHeight w:val="198"/>
        </w:trPr>
        <w:tc>
          <w:tcPr>
            <w:tcW w:w="1808" w:type="dxa"/>
            <w:vMerge/>
          </w:tcPr>
          <w:p w:rsidR="00FC52AB" w:rsidRDefault="00FC52AB" w:rsidP="006116AF">
            <w:pPr>
              <w:pStyle w:val="Default"/>
              <w:rPr>
                <w:sz w:val="18"/>
                <w:szCs w:val="18"/>
              </w:rPr>
            </w:pPr>
          </w:p>
        </w:tc>
        <w:tc>
          <w:tcPr>
            <w:tcW w:w="2836" w:type="dxa"/>
          </w:tcPr>
          <w:p w:rsidR="00FC52AB" w:rsidRDefault="00FC52AB" w:rsidP="006116AF">
            <w:pPr>
              <w:pStyle w:val="Default"/>
              <w:rPr>
                <w:sz w:val="18"/>
                <w:szCs w:val="18"/>
              </w:rPr>
            </w:pPr>
            <w:r>
              <w:rPr>
                <w:b/>
                <w:bCs/>
                <w:sz w:val="18"/>
                <w:szCs w:val="18"/>
              </w:rPr>
              <w:t xml:space="preserve">Nombre del respondedor: </w:t>
            </w:r>
          </w:p>
        </w:tc>
        <w:tc>
          <w:tcPr>
            <w:tcW w:w="4433" w:type="dxa"/>
            <w:gridSpan w:val="4"/>
          </w:tcPr>
          <w:p w:rsidR="00FC52AB" w:rsidRDefault="00FC52AB" w:rsidP="006116AF">
            <w:pPr>
              <w:pStyle w:val="Default"/>
              <w:rPr>
                <w:sz w:val="18"/>
                <w:szCs w:val="18"/>
              </w:rPr>
            </w:pPr>
          </w:p>
        </w:tc>
      </w:tr>
      <w:tr w:rsidR="00FC52AB" w:rsidTr="00BB123D">
        <w:trPr>
          <w:trHeight w:val="89"/>
        </w:trPr>
        <w:tc>
          <w:tcPr>
            <w:tcW w:w="1808" w:type="dxa"/>
            <w:vMerge/>
          </w:tcPr>
          <w:p w:rsidR="00FC52AB" w:rsidRDefault="00FC52AB" w:rsidP="006116AF">
            <w:pPr>
              <w:pStyle w:val="Default"/>
              <w:rPr>
                <w:sz w:val="18"/>
                <w:szCs w:val="18"/>
              </w:rPr>
            </w:pPr>
          </w:p>
        </w:tc>
        <w:tc>
          <w:tcPr>
            <w:tcW w:w="2836" w:type="dxa"/>
          </w:tcPr>
          <w:p w:rsidR="00FC52AB" w:rsidRDefault="00FC52AB" w:rsidP="006116AF">
            <w:pPr>
              <w:pStyle w:val="Default"/>
              <w:rPr>
                <w:sz w:val="18"/>
                <w:szCs w:val="18"/>
              </w:rPr>
            </w:pPr>
            <w:r>
              <w:rPr>
                <w:b/>
                <w:bCs/>
                <w:sz w:val="18"/>
                <w:szCs w:val="18"/>
              </w:rPr>
              <w:t xml:space="preserve">Emisor del respondedor: </w:t>
            </w:r>
          </w:p>
        </w:tc>
        <w:tc>
          <w:tcPr>
            <w:tcW w:w="4433" w:type="dxa"/>
            <w:gridSpan w:val="4"/>
          </w:tcPr>
          <w:p w:rsidR="00FC52AB" w:rsidRDefault="00FC52AB" w:rsidP="006116AF">
            <w:pPr>
              <w:pStyle w:val="Default"/>
              <w:rPr>
                <w:sz w:val="18"/>
                <w:szCs w:val="18"/>
              </w:rPr>
            </w:pPr>
          </w:p>
        </w:tc>
      </w:tr>
      <w:tr w:rsidR="00FC52AB" w:rsidTr="00BB123D">
        <w:trPr>
          <w:trHeight w:val="89"/>
        </w:trPr>
        <w:tc>
          <w:tcPr>
            <w:tcW w:w="1808" w:type="dxa"/>
            <w:vMerge/>
          </w:tcPr>
          <w:p w:rsidR="00FC52AB" w:rsidRDefault="00FC52AB" w:rsidP="006116AF">
            <w:pPr>
              <w:pStyle w:val="Default"/>
              <w:rPr>
                <w:sz w:val="18"/>
                <w:szCs w:val="18"/>
              </w:rPr>
            </w:pPr>
          </w:p>
        </w:tc>
        <w:tc>
          <w:tcPr>
            <w:tcW w:w="2836" w:type="dxa"/>
          </w:tcPr>
          <w:p w:rsidR="00FC52AB" w:rsidRDefault="00FC52AB" w:rsidP="006116AF">
            <w:pPr>
              <w:pStyle w:val="Default"/>
              <w:rPr>
                <w:sz w:val="18"/>
                <w:szCs w:val="18"/>
              </w:rPr>
            </w:pPr>
            <w:r>
              <w:rPr>
                <w:b/>
                <w:bCs/>
                <w:sz w:val="18"/>
                <w:szCs w:val="18"/>
              </w:rPr>
              <w:t xml:space="preserve">Número de serie: </w:t>
            </w:r>
          </w:p>
        </w:tc>
        <w:tc>
          <w:tcPr>
            <w:tcW w:w="4433" w:type="dxa"/>
            <w:gridSpan w:val="4"/>
          </w:tcPr>
          <w:p w:rsidR="00FC52AB" w:rsidRDefault="00FC52AB" w:rsidP="006116AF">
            <w:pPr>
              <w:pStyle w:val="Default"/>
              <w:rPr>
                <w:sz w:val="18"/>
                <w:szCs w:val="18"/>
              </w:rPr>
            </w:pPr>
          </w:p>
        </w:tc>
      </w:tr>
    </w:tbl>
    <w:p w:rsidR="00FC52AB" w:rsidRDefault="00FC52AB" w:rsidP="006116AF">
      <w:pPr>
        <w:jc w:val="both"/>
        <w:rPr>
          <w:b/>
        </w:rPr>
      </w:pPr>
    </w:p>
    <w:p w:rsidR="00FC52AB" w:rsidRPr="002965A0" w:rsidRDefault="00FC52AB" w:rsidP="006116AF">
      <w:pPr>
        <w:pStyle w:val="Prrafodelista"/>
        <w:ind w:left="2835"/>
        <w:jc w:val="both"/>
        <w:rPr>
          <w:rFonts w:ascii="Arial" w:hAnsi="Arial" w:cs="Arial"/>
          <w:sz w:val="24"/>
          <w:szCs w:val="24"/>
        </w:rPr>
      </w:pPr>
    </w:p>
    <w:p w:rsidR="00FC52AB" w:rsidRPr="00F3308D" w:rsidRDefault="00FC52AB" w:rsidP="006116AF">
      <w:pPr>
        <w:pStyle w:val="Prrafodelista"/>
        <w:numPr>
          <w:ilvl w:val="0"/>
          <w:numId w:val="5"/>
        </w:numPr>
        <w:ind w:left="1418" w:hanging="284"/>
        <w:jc w:val="both"/>
        <w:rPr>
          <w:rFonts w:cstheme="minorHAnsi"/>
        </w:rPr>
      </w:pPr>
      <w:r w:rsidRPr="00F3308D">
        <w:rPr>
          <w:rFonts w:cstheme="minorHAnsi"/>
        </w:rPr>
        <w:t>Que los órganos jurisdiccionales que administran o lo conforman se encuentren interconectados a través de los sistemas tecnológicos de gestión jurisdiccional que conlleve el acceso electrónico a las Oficinas de Corresp</w:t>
      </w:r>
      <w:r w:rsidR="00764CD1">
        <w:rPr>
          <w:rFonts w:cstheme="minorHAnsi"/>
        </w:rPr>
        <w:t xml:space="preserve">ondencia Común y a </w:t>
      </w:r>
      <w:proofErr w:type="gramStart"/>
      <w:r w:rsidR="00764CD1">
        <w:rPr>
          <w:rFonts w:cstheme="minorHAnsi"/>
        </w:rPr>
        <w:t>las</w:t>
      </w:r>
      <w:proofErr w:type="gramEnd"/>
      <w:r w:rsidR="00764CD1">
        <w:rPr>
          <w:rFonts w:cstheme="minorHAnsi"/>
        </w:rPr>
        <w:t xml:space="preserve"> Oficialía</w:t>
      </w:r>
      <w:r w:rsidRPr="00F3308D">
        <w:rPr>
          <w:rFonts w:cstheme="minorHAnsi"/>
        </w:rPr>
        <w:t xml:space="preserve"> de Partes, así como a los expedientes electrónicos respectivos.</w:t>
      </w:r>
    </w:p>
    <w:p w:rsidR="00FC52AB" w:rsidRPr="00F3308D" w:rsidRDefault="00FC52AB" w:rsidP="006116AF">
      <w:pPr>
        <w:pStyle w:val="Prrafodelista"/>
        <w:numPr>
          <w:ilvl w:val="0"/>
          <w:numId w:val="5"/>
        </w:numPr>
        <w:ind w:left="1418" w:hanging="284"/>
        <w:jc w:val="both"/>
        <w:rPr>
          <w:rFonts w:cstheme="minorHAnsi"/>
        </w:rPr>
      </w:pPr>
      <w:r w:rsidRPr="00F3308D">
        <w:rPr>
          <w:rFonts w:cstheme="minorHAnsi"/>
        </w:rPr>
        <w:t>Establecerá una Unidad Interinstitucional para el normal desarrollo de los servicios en línea establecidos en el presente convenio, que se integrarán por personal administrativo, jurídico y técnico, que servirán como enlace.</w:t>
      </w:r>
    </w:p>
    <w:p w:rsidR="00FC52AB" w:rsidRPr="00F3308D" w:rsidRDefault="00FC52AB" w:rsidP="006116AF">
      <w:pPr>
        <w:pStyle w:val="Prrafodelista"/>
        <w:ind w:left="1418"/>
        <w:jc w:val="both"/>
        <w:rPr>
          <w:rFonts w:cstheme="minorHAnsi"/>
        </w:rPr>
      </w:pPr>
    </w:p>
    <w:p w:rsidR="00FC52AB" w:rsidRPr="00AF0E93" w:rsidRDefault="00FC52AB" w:rsidP="008B2139">
      <w:pPr>
        <w:pStyle w:val="Textoindependiente"/>
        <w:spacing w:after="0"/>
        <w:jc w:val="both"/>
        <w:rPr>
          <w:b/>
        </w:rPr>
      </w:pPr>
      <w:r w:rsidRPr="00AF0E93">
        <w:rPr>
          <w:b/>
        </w:rPr>
        <w:t>CLÁUSULA TERCERA.- (NOTIFICACIONES VÍA ELECTRÓNICA).</w:t>
      </w:r>
    </w:p>
    <w:p w:rsidR="00FC52AB" w:rsidRPr="00F3308D" w:rsidRDefault="00FC52AB" w:rsidP="008B2139">
      <w:pPr>
        <w:pStyle w:val="Textoindependiente"/>
        <w:spacing w:after="0"/>
        <w:jc w:val="both"/>
      </w:pPr>
      <w:r w:rsidRPr="00F3308D">
        <w:t xml:space="preserve">En términos del artículo 26, fracción IV, de la Ley de Amparo, el </w:t>
      </w:r>
      <w:r w:rsidR="001059E4" w:rsidRPr="004660BE">
        <w:rPr>
          <w:b/>
          <w:color w:val="FF0000"/>
        </w:rPr>
        <w:t>“_”</w:t>
      </w:r>
      <w:r w:rsidRPr="00F3308D">
        <w:t xml:space="preserve">, manifiesta su conformidad en que las notificaciones relacionadas con los juicios de amparo en que se señale como autoridades </w:t>
      </w:r>
      <w:r w:rsidRPr="00F3308D">
        <w:lastRenderedPageBreak/>
        <w:t>responsables a los órganos jurisdiccionales que lo conforman</w:t>
      </w:r>
      <w:r w:rsidR="008B2139">
        <w:t>,</w:t>
      </w:r>
      <w:r w:rsidRPr="00F3308D">
        <w:t xml:space="preserve"> se realicen por la vía electrónica, con lo que quedarán sujetos a los plazos previstos en el artículo 30, fracción I, de la </w:t>
      </w:r>
    </w:p>
    <w:p w:rsidR="00FC52AB" w:rsidRPr="00F3308D" w:rsidRDefault="00FC52AB" w:rsidP="008B2139">
      <w:pPr>
        <w:pStyle w:val="Textoindependiente"/>
        <w:spacing w:after="0"/>
        <w:jc w:val="both"/>
        <w:rPr>
          <w:b/>
        </w:rPr>
      </w:pPr>
      <w:r w:rsidRPr="00F3308D">
        <w:t xml:space="preserve">Ley antes citada y se realizarán a través de oficios digitalizado mediante la utilización de firmas electrónicas reconocidas por </w:t>
      </w:r>
      <w:r w:rsidRPr="00F3308D">
        <w:rPr>
          <w:b/>
        </w:rPr>
        <w:t>“LAS PARTES”</w:t>
      </w:r>
      <w:r w:rsidRPr="00F3308D">
        <w:t>.</w:t>
      </w:r>
    </w:p>
    <w:p w:rsidR="00FC52AB" w:rsidRPr="00F3308D" w:rsidRDefault="00FC52AB" w:rsidP="008B2139">
      <w:pPr>
        <w:jc w:val="both"/>
        <w:rPr>
          <w:rFonts w:cstheme="minorHAnsi"/>
          <w:b/>
          <w:lang w:val="es-ES"/>
        </w:rPr>
      </w:pPr>
    </w:p>
    <w:p w:rsidR="00FC52AB" w:rsidRPr="008B2139" w:rsidRDefault="00FC52AB" w:rsidP="008B2139">
      <w:pPr>
        <w:pStyle w:val="Textoindependiente"/>
        <w:spacing w:after="0"/>
        <w:jc w:val="both"/>
        <w:rPr>
          <w:b/>
        </w:rPr>
      </w:pPr>
      <w:r w:rsidRPr="00AF0E93">
        <w:rPr>
          <w:b/>
        </w:rPr>
        <w:t>CLÁUSULA CUARTA.- (MODIFICACIÓN EN LOS SISTEMAS INFORMÁTICOS).</w:t>
      </w:r>
    </w:p>
    <w:p w:rsidR="00FC52AB" w:rsidRDefault="00FC52AB" w:rsidP="008B2139">
      <w:pPr>
        <w:pStyle w:val="Textoindependiente"/>
        <w:spacing w:after="0"/>
        <w:jc w:val="both"/>
      </w:pPr>
      <w:r w:rsidRPr="00F3308D">
        <w:t xml:space="preserve">Cualquier modificación en los sistemas informáticos de </w:t>
      </w:r>
      <w:r w:rsidRPr="00F3308D">
        <w:rPr>
          <w:b/>
        </w:rPr>
        <w:t xml:space="preserve">“LAS PARTES” </w:t>
      </w:r>
      <w:r w:rsidRPr="00F3308D">
        <w:t>que puedan afectar los servicios en línea establecidos en el presente convenio se harán previamente del conocimiento de estas a través de las áreas de tecnologías designadas.</w:t>
      </w:r>
    </w:p>
    <w:p w:rsidR="008B2139" w:rsidRPr="00F3308D" w:rsidRDefault="008B2139" w:rsidP="008B2139">
      <w:pPr>
        <w:pStyle w:val="Textoindependiente"/>
        <w:spacing w:after="0"/>
        <w:jc w:val="both"/>
      </w:pPr>
    </w:p>
    <w:p w:rsidR="00FC52AB" w:rsidRPr="00F3308D" w:rsidRDefault="00FC52AB" w:rsidP="008B2139">
      <w:pPr>
        <w:pStyle w:val="Sinespaciado"/>
        <w:jc w:val="both"/>
        <w:rPr>
          <w:rFonts w:cstheme="minorHAnsi"/>
          <w:b/>
        </w:rPr>
      </w:pPr>
      <w:r w:rsidRPr="00F3308D">
        <w:rPr>
          <w:rFonts w:cstheme="minorHAnsi"/>
          <w:b/>
        </w:rPr>
        <w:t>CLÁUSULA QUINTA.- (CONFIDENCIALIDAD).</w:t>
      </w:r>
    </w:p>
    <w:p w:rsidR="00FC52AB" w:rsidRDefault="00FC52AB" w:rsidP="008B2139">
      <w:pPr>
        <w:pStyle w:val="Textoindependiente"/>
        <w:spacing w:after="0"/>
        <w:jc w:val="both"/>
      </w:pPr>
      <w:r w:rsidRPr="00F3308D">
        <w:rPr>
          <w:b/>
        </w:rPr>
        <w:t>“LAS PARTES”</w:t>
      </w:r>
      <w:r w:rsidRPr="00F3308D">
        <w:t xml:space="preserve"> deberán guardar total secrecía y confidencialidad respecto a la información y actividades de cualquier clase que sea proporcionada entre ellas, así como de todos aquellos datos e información a los que intercambien, tengan acceso y conocimiento cada una de las intervinientes, las cuales no deberá revelar, en todo o en parte, por medio alguno, los datos referidos anteriormente, a ninguna persona o entidad, nacional o extranjera, directa o indirectamente distinta a las que suscriben el presente instrumento, sin el consentimiento previo y por escrito de la otra parte. Lo anterior, de conformidad con la legislación aplicable a cada una de ellas en materia de protección de datos y la Ley Federal de Transparencia y Acceso a la Información Pública.</w:t>
      </w:r>
    </w:p>
    <w:p w:rsidR="008B2139" w:rsidRPr="00F3308D" w:rsidRDefault="008B2139" w:rsidP="008B2139">
      <w:pPr>
        <w:pStyle w:val="Textoindependiente"/>
        <w:spacing w:after="0"/>
        <w:jc w:val="both"/>
      </w:pPr>
    </w:p>
    <w:p w:rsidR="00FC52AB" w:rsidRPr="00F3308D" w:rsidRDefault="00FC52AB" w:rsidP="008B2139">
      <w:pPr>
        <w:pStyle w:val="Sinespaciado"/>
        <w:jc w:val="both"/>
        <w:rPr>
          <w:rFonts w:cstheme="minorHAnsi"/>
          <w:b/>
        </w:rPr>
      </w:pPr>
      <w:r w:rsidRPr="00F3308D">
        <w:rPr>
          <w:rFonts w:cstheme="minorHAnsi"/>
          <w:b/>
        </w:rPr>
        <w:t>CLÁUSULA SEXTA.- (JURISDICCIÓN).</w:t>
      </w:r>
    </w:p>
    <w:p w:rsidR="00FC52AB" w:rsidRDefault="00FC52AB" w:rsidP="008B2139">
      <w:pPr>
        <w:pStyle w:val="Textoindependiente"/>
        <w:spacing w:after="0"/>
        <w:jc w:val="both"/>
        <w:rPr>
          <w:noProof/>
        </w:rPr>
      </w:pPr>
      <w:r w:rsidRPr="00F3308D">
        <w:rPr>
          <w:noProof/>
        </w:rPr>
        <w:t xml:space="preserve">El presente convenio es producto de la buena fe, por lo que en caso de suscitarse duda o controversia respecto de su formalización, interpretación y cumplimiento, las resolverán a través </w:t>
      </w:r>
      <w:r w:rsidR="008B2139">
        <w:rPr>
          <w:noProof/>
        </w:rPr>
        <w:t>de lo</w:t>
      </w:r>
      <w:r w:rsidRPr="00F3308D">
        <w:rPr>
          <w:noProof/>
        </w:rPr>
        <w:t>s representantes que designen para tales efectos utilizando la técnica de la amigable composición y por escrito.</w:t>
      </w:r>
    </w:p>
    <w:p w:rsidR="008B2139" w:rsidRPr="00F3308D" w:rsidRDefault="008B2139" w:rsidP="008B2139">
      <w:pPr>
        <w:pStyle w:val="Textoindependiente"/>
        <w:spacing w:after="0"/>
        <w:jc w:val="both"/>
        <w:rPr>
          <w:noProof/>
        </w:rPr>
      </w:pPr>
    </w:p>
    <w:p w:rsidR="00FC52AB" w:rsidRPr="008B2139" w:rsidRDefault="00FC52AB" w:rsidP="008B2139">
      <w:pPr>
        <w:pStyle w:val="Textoindependiente"/>
        <w:spacing w:after="0"/>
        <w:jc w:val="both"/>
        <w:rPr>
          <w:b/>
        </w:rPr>
      </w:pPr>
      <w:r w:rsidRPr="00AF0E93">
        <w:rPr>
          <w:b/>
        </w:rPr>
        <w:t>CLÁUSULA SÉPTIMA.- (</w:t>
      </w:r>
      <w:r w:rsidRPr="00AF0E93">
        <w:rPr>
          <w:b/>
          <w:lang w:val="es-ES"/>
        </w:rPr>
        <w:t xml:space="preserve">EXCLUYENTES DE </w:t>
      </w:r>
      <w:r w:rsidRPr="00AF0E93">
        <w:rPr>
          <w:b/>
        </w:rPr>
        <w:t>RESPONSABILIDAD).</w:t>
      </w:r>
    </w:p>
    <w:p w:rsidR="00FC52AB" w:rsidRDefault="00FC52AB" w:rsidP="008B2139">
      <w:pPr>
        <w:pStyle w:val="Sinespaciado"/>
        <w:jc w:val="both"/>
        <w:rPr>
          <w:rFonts w:cstheme="minorHAnsi"/>
        </w:rPr>
      </w:pPr>
      <w:r w:rsidRPr="00F3308D">
        <w:rPr>
          <w:rFonts w:cstheme="minorHAnsi"/>
        </w:rPr>
        <w:t xml:space="preserve">Ninguna de </w:t>
      </w:r>
      <w:r w:rsidRPr="00F3308D">
        <w:rPr>
          <w:rFonts w:cstheme="minorHAnsi"/>
          <w:b/>
        </w:rPr>
        <w:t xml:space="preserve">“LAS PARTES” </w:t>
      </w:r>
      <w:r w:rsidRPr="00F3308D">
        <w:rPr>
          <w:rFonts w:cstheme="minorHAnsi"/>
        </w:rPr>
        <w:t>será responsable de cualquier retraso o incumplimiento de este convenio, que resulte de caso fortuito o fuerza mayor. Asimismo, cada una de ellas será responsable en la operación y servicios que se preste en sus sistemas tecnológicos.</w:t>
      </w:r>
    </w:p>
    <w:p w:rsidR="008B2139" w:rsidRPr="00F3308D" w:rsidRDefault="008B2139" w:rsidP="008B2139">
      <w:pPr>
        <w:pStyle w:val="Sinespaciado"/>
        <w:jc w:val="both"/>
        <w:rPr>
          <w:rFonts w:cstheme="minorHAnsi"/>
        </w:rPr>
      </w:pPr>
    </w:p>
    <w:p w:rsidR="00FC52AB" w:rsidRPr="008B2139" w:rsidRDefault="00FC52AB" w:rsidP="008B2139">
      <w:pPr>
        <w:pStyle w:val="Sinespaciado"/>
        <w:jc w:val="both"/>
        <w:rPr>
          <w:rFonts w:cstheme="minorHAnsi"/>
          <w:b/>
          <w:bCs/>
          <w:lang w:val="es-ES"/>
        </w:rPr>
      </w:pPr>
      <w:r w:rsidRPr="00F3308D">
        <w:rPr>
          <w:rFonts w:cstheme="minorHAnsi"/>
          <w:b/>
          <w:lang w:val="es-ES"/>
        </w:rPr>
        <w:t xml:space="preserve">CLÁUSULA </w:t>
      </w:r>
      <w:r w:rsidRPr="00F3308D">
        <w:rPr>
          <w:rFonts w:cstheme="minorHAnsi"/>
          <w:b/>
        </w:rPr>
        <w:t xml:space="preserve">OCTAVA.- </w:t>
      </w:r>
      <w:r w:rsidRPr="00F3308D">
        <w:rPr>
          <w:rFonts w:cstheme="minorHAnsi"/>
          <w:b/>
          <w:bCs/>
          <w:lang w:val="es-ES"/>
        </w:rPr>
        <w:t>(RELACIÓN LABORAL).</w:t>
      </w:r>
    </w:p>
    <w:p w:rsidR="00FC52AB" w:rsidRDefault="00FC52AB" w:rsidP="008B2139">
      <w:pPr>
        <w:pStyle w:val="Sinespaciado"/>
        <w:jc w:val="both"/>
        <w:rPr>
          <w:rFonts w:cstheme="minorHAnsi"/>
          <w:bCs/>
          <w:lang w:val="es-ES"/>
        </w:rPr>
      </w:pPr>
      <w:r w:rsidRPr="00F3308D">
        <w:rPr>
          <w:rFonts w:cstheme="minorHAnsi"/>
          <w:b/>
          <w:bCs/>
          <w:lang w:val="es-ES"/>
        </w:rPr>
        <w:t xml:space="preserve">“LAS PARTES” </w:t>
      </w:r>
      <w:r w:rsidRPr="00F3308D">
        <w:rPr>
          <w:rFonts w:cstheme="minorHAnsi"/>
          <w:bCs/>
          <w:lang w:val="es-ES"/>
        </w:rPr>
        <w:t>convienen que el personal comisionado por cada una de ellas para la realización del objeto materia de este convenio, se entenderá relacionado exclusivamente con aquella que lo empleó. Por ende, asumirá su responsabilidad por este concepto y en ningún caso serán consideradas como patrón solidario o sustituto del personal de la otra parte.</w:t>
      </w:r>
    </w:p>
    <w:p w:rsidR="008B2139" w:rsidRPr="00F3308D" w:rsidRDefault="008B2139" w:rsidP="008B2139">
      <w:pPr>
        <w:pStyle w:val="Sinespaciado"/>
        <w:jc w:val="both"/>
        <w:rPr>
          <w:rFonts w:cstheme="minorHAnsi"/>
          <w:bCs/>
          <w:lang w:val="es-ES"/>
        </w:rPr>
      </w:pPr>
    </w:p>
    <w:p w:rsidR="00FC52AB" w:rsidRPr="008B2139" w:rsidRDefault="00FC52AB" w:rsidP="008B2139">
      <w:pPr>
        <w:pStyle w:val="Textoindependiente"/>
        <w:spacing w:after="0"/>
        <w:jc w:val="both"/>
        <w:rPr>
          <w:b/>
        </w:rPr>
      </w:pPr>
      <w:r w:rsidRPr="00AF0E93">
        <w:rPr>
          <w:b/>
        </w:rPr>
        <w:t>CLÁUSULA NOVENA.- (</w:t>
      </w:r>
      <w:r w:rsidRPr="00AF0E93">
        <w:rPr>
          <w:b/>
          <w:lang w:val="es-ES"/>
        </w:rPr>
        <w:t>MODIFICACIONES</w:t>
      </w:r>
      <w:r w:rsidRPr="00AF0E93">
        <w:rPr>
          <w:b/>
        </w:rPr>
        <w:t>).</w:t>
      </w:r>
    </w:p>
    <w:p w:rsidR="008B2139" w:rsidRDefault="00FC52AB" w:rsidP="008B2139">
      <w:pPr>
        <w:pStyle w:val="Prrafodelista"/>
        <w:ind w:left="0"/>
        <w:jc w:val="both"/>
        <w:rPr>
          <w:rFonts w:cstheme="minorHAnsi"/>
        </w:rPr>
      </w:pPr>
      <w:r w:rsidRPr="00F3308D">
        <w:rPr>
          <w:rFonts w:cstheme="minorHAnsi"/>
        </w:rPr>
        <w:t xml:space="preserve">El presente instrumento podrá ser modificado o adicionado por voluntad de </w:t>
      </w:r>
      <w:r w:rsidRPr="00F3308D">
        <w:rPr>
          <w:rFonts w:cstheme="minorHAnsi"/>
          <w:b/>
        </w:rPr>
        <w:t>“LAS PARTES”</w:t>
      </w:r>
      <w:r w:rsidRPr="00F3308D">
        <w:rPr>
          <w:rFonts w:cstheme="minorHAnsi"/>
        </w:rPr>
        <w:t>, mediante aviso por escrito, éste deberá se</w:t>
      </w:r>
      <w:r w:rsidR="00C86F7F">
        <w:rPr>
          <w:rFonts w:cstheme="minorHAnsi"/>
        </w:rPr>
        <w:t>r notificado por lo menos con treinta</w:t>
      </w:r>
      <w:r w:rsidRPr="00F3308D">
        <w:rPr>
          <w:rFonts w:cstheme="minorHAnsi"/>
        </w:rPr>
        <w:t xml:space="preserve"> días naturales, entendiendo que prevalecerán vigentes aquellas cláusulas que no sean modificadas o suprimidas. </w:t>
      </w:r>
    </w:p>
    <w:p w:rsidR="008B2139" w:rsidRDefault="008B2139" w:rsidP="008B2139">
      <w:pPr>
        <w:pStyle w:val="Prrafodelista"/>
        <w:ind w:left="0"/>
        <w:jc w:val="both"/>
        <w:rPr>
          <w:rFonts w:cstheme="minorHAnsi"/>
        </w:rPr>
      </w:pPr>
    </w:p>
    <w:p w:rsidR="00FC52AB" w:rsidRDefault="00FC52AB" w:rsidP="008B2139">
      <w:pPr>
        <w:pStyle w:val="Prrafodelista"/>
        <w:ind w:left="0"/>
        <w:jc w:val="both"/>
        <w:rPr>
          <w:rFonts w:cstheme="minorHAnsi"/>
        </w:rPr>
      </w:pPr>
      <w:r w:rsidRPr="00F3308D">
        <w:rPr>
          <w:rFonts w:cstheme="minorHAnsi"/>
        </w:rPr>
        <w:t>Dichas modificaciones tendrán por objeto medidas progresivas en los servicios en línea que se prestan a la sociedad mexicana, en términos del artículo 1, párrafo tercero, de la Constitución Política de los Estados Unidos Mexicanos</w:t>
      </w:r>
    </w:p>
    <w:p w:rsidR="008B2139" w:rsidRPr="00F3308D" w:rsidRDefault="008B2139" w:rsidP="008B2139">
      <w:pPr>
        <w:pStyle w:val="Prrafodelista"/>
        <w:ind w:left="0"/>
        <w:jc w:val="both"/>
        <w:rPr>
          <w:rFonts w:cstheme="minorHAnsi"/>
        </w:rPr>
      </w:pPr>
    </w:p>
    <w:p w:rsidR="00FC52AB" w:rsidRPr="00F3308D" w:rsidRDefault="00FC52AB" w:rsidP="008B2139">
      <w:pPr>
        <w:pStyle w:val="Sinespaciado"/>
        <w:jc w:val="both"/>
        <w:rPr>
          <w:rFonts w:cstheme="minorHAnsi"/>
        </w:rPr>
      </w:pPr>
      <w:r w:rsidRPr="00F3308D">
        <w:rPr>
          <w:rFonts w:cstheme="minorHAnsi"/>
        </w:rPr>
        <w:lastRenderedPageBreak/>
        <w:t xml:space="preserve">En caso de suscitarse dudas respecto a la interpretación de las modificaciones a realizarse, se contemplará lo previsto en la </w:t>
      </w:r>
      <w:r w:rsidRPr="00F3308D">
        <w:rPr>
          <w:rFonts w:cstheme="minorHAnsi"/>
          <w:b/>
        </w:rPr>
        <w:t>CLÁUSULA SEXTA</w:t>
      </w:r>
      <w:r w:rsidRPr="00F3308D">
        <w:rPr>
          <w:rFonts w:cstheme="minorHAnsi"/>
        </w:rPr>
        <w:t xml:space="preserve"> del presente instrumento. </w:t>
      </w:r>
    </w:p>
    <w:p w:rsidR="00FC52AB" w:rsidRPr="00F3308D" w:rsidRDefault="00FC52AB" w:rsidP="008B2139">
      <w:pPr>
        <w:pStyle w:val="Sinespaciado"/>
        <w:jc w:val="both"/>
        <w:rPr>
          <w:rFonts w:cstheme="minorHAnsi"/>
        </w:rPr>
      </w:pPr>
    </w:p>
    <w:p w:rsidR="00FC52AB" w:rsidRPr="008B2139" w:rsidRDefault="00FC52AB" w:rsidP="008B2139">
      <w:pPr>
        <w:pStyle w:val="Textoindependiente"/>
        <w:spacing w:after="0"/>
        <w:jc w:val="both"/>
        <w:rPr>
          <w:b/>
        </w:rPr>
      </w:pPr>
      <w:r w:rsidRPr="00AF0E93">
        <w:rPr>
          <w:b/>
        </w:rPr>
        <w:t>CLÁUSULA DÉCIMA.- (VIGENCIA).</w:t>
      </w:r>
    </w:p>
    <w:p w:rsidR="00FC52AB" w:rsidRDefault="00FC52AB" w:rsidP="008B2139">
      <w:pPr>
        <w:pStyle w:val="Textoindependiente"/>
        <w:spacing w:after="0"/>
        <w:jc w:val="both"/>
      </w:pPr>
      <w:r w:rsidRPr="00F3308D">
        <w:t>El presente convenio entrará en vigo</w:t>
      </w:r>
      <w:r w:rsidR="008B2139">
        <w:t xml:space="preserve">r a partir del __ de ___ del dos mil </w:t>
      </w:r>
      <w:proofErr w:type="spellStart"/>
      <w:r w:rsidR="008B2139">
        <w:t>dieciseis</w:t>
      </w:r>
      <w:proofErr w:type="spellEnd"/>
      <w:r w:rsidRPr="00F3308D">
        <w:t xml:space="preserve">, y </w:t>
      </w:r>
      <w:r w:rsidR="003E0335">
        <w:t>tendrá una vigencia indefinida.</w:t>
      </w:r>
    </w:p>
    <w:p w:rsidR="008B2139" w:rsidRPr="00F3308D" w:rsidRDefault="008B2139" w:rsidP="008B2139">
      <w:pPr>
        <w:pStyle w:val="Textoindependiente"/>
        <w:spacing w:after="0"/>
        <w:jc w:val="both"/>
      </w:pPr>
    </w:p>
    <w:p w:rsidR="00377A2E" w:rsidRPr="00AF0E93" w:rsidRDefault="00377A2E" w:rsidP="008B2139">
      <w:pPr>
        <w:pStyle w:val="Textoindependiente"/>
        <w:spacing w:after="0"/>
        <w:jc w:val="both"/>
        <w:rPr>
          <w:b/>
        </w:rPr>
      </w:pPr>
      <w:r w:rsidRPr="00AF0E93">
        <w:rPr>
          <w:b/>
        </w:rPr>
        <w:t xml:space="preserve">CLÁUSULA DÉCIMA PRIMERA.- </w:t>
      </w:r>
      <w:r w:rsidR="008B2139" w:rsidRPr="00E35A26">
        <w:rPr>
          <w:rFonts w:cstheme="minorHAnsi"/>
          <w:b/>
          <w:bCs/>
        </w:rPr>
        <w:t>(ENTRADA EN VIGOR</w:t>
      </w:r>
      <w:r w:rsidR="008B2139">
        <w:rPr>
          <w:rFonts w:cstheme="minorHAnsi"/>
          <w:b/>
          <w:bCs/>
        </w:rPr>
        <w:t xml:space="preserve"> DE LOS SERVICIOS EN LÍNEA</w:t>
      </w:r>
      <w:r w:rsidR="008B2139" w:rsidRPr="00E35A26">
        <w:rPr>
          <w:rFonts w:cstheme="minorHAnsi"/>
          <w:b/>
          <w:bCs/>
        </w:rPr>
        <w:t>)</w:t>
      </w:r>
      <w:r w:rsidR="008B2139">
        <w:rPr>
          <w:rFonts w:cstheme="minorHAnsi"/>
          <w:b/>
          <w:bCs/>
        </w:rPr>
        <w:t>.</w:t>
      </w:r>
    </w:p>
    <w:p w:rsidR="00FC52AB" w:rsidRPr="00F3308D" w:rsidRDefault="00FC52AB" w:rsidP="008B2139">
      <w:pPr>
        <w:pStyle w:val="Textoindependiente"/>
        <w:spacing w:after="0"/>
        <w:jc w:val="both"/>
      </w:pPr>
      <w:r w:rsidRPr="00F3308D">
        <w:t>El cumplimiento de las obligaciones y la prestación de los servicios en línea materia del presente convenio quedarán sujetos a la fecha que se establezca en la declaratoria que emitan ambas partes, que se publicará en el Diario Oficial de la Federación y en la Gaceta Oficial Local, una vez que el desarrollo tecnológico lo permita.</w:t>
      </w:r>
    </w:p>
    <w:p w:rsidR="00FC52AB" w:rsidRPr="00F3308D" w:rsidRDefault="00FC52AB" w:rsidP="008B2139">
      <w:pPr>
        <w:jc w:val="both"/>
        <w:rPr>
          <w:rFonts w:cstheme="minorHAnsi"/>
          <w:b/>
        </w:rPr>
      </w:pPr>
    </w:p>
    <w:p w:rsidR="008B2139" w:rsidRPr="00F3308D" w:rsidRDefault="008B2139" w:rsidP="008B2139">
      <w:pPr>
        <w:pStyle w:val="Textoindependiente"/>
        <w:spacing w:after="0"/>
        <w:jc w:val="both"/>
      </w:pPr>
      <w:r w:rsidRPr="00F3308D">
        <w:t xml:space="preserve">El presente convenio fue leído y, manifestándose conocedoras </w:t>
      </w:r>
      <w:r w:rsidRPr="00F3308D">
        <w:rPr>
          <w:b/>
        </w:rPr>
        <w:t>“LAS PARTES”</w:t>
      </w:r>
      <w:r w:rsidRPr="00F3308D">
        <w:t xml:space="preserve"> de su contenido y alcance l</w:t>
      </w:r>
      <w:r>
        <w:t>egal, se firma por duplicado en</w:t>
      </w:r>
      <w:r w:rsidRPr="00F3308D">
        <w:t xml:space="preserve"> la Ciudad d</w:t>
      </w:r>
      <w:r>
        <w:t xml:space="preserve">e México a __ de _______ </w:t>
      </w:r>
      <w:proofErr w:type="spellStart"/>
      <w:r>
        <w:t>de</w:t>
      </w:r>
      <w:proofErr w:type="spellEnd"/>
      <w:r>
        <w:t xml:space="preserve"> dos mil dieciséis</w:t>
      </w:r>
      <w:r w:rsidRPr="00F3308D">
        <w:t>.</w:t>
      </w:r>
    </w:p>
    <w:p w:rsidR="00FC52AB" w:rsidRDefault="00FC52AB" w:rsidP="008B2139">
      <w:pPr>
        <w:jc w:val="both"/>
      </w:pPr>
    </w:p>
    <w:sectPr w:rsidR="00FC52A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77" w:rsidRDefault="00211377" w:rsidP="00C86F7F">
      <w:r>
        <w:separator/>
      </w:r>
    </w:p>
  </w:endnote>
  <w:endnote w:type="continuationSeparator" w:id="0">
    <w:p w:rsidR="00211377" w:rsidRDefault="00211377" w:rsidP="00C8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927308379"/>
      <w:docPartObj>
        <w:docPartGallery w:val="Page Numbers (Bottom of Page)"/>
        <w:docPartUnique/>
      </w:docPartObj>
    </w:sdtPr>
    <w:sdtEndPr/>
    <w:sdtContent>
      <w:p w:rsidR="00C86F7F" w:rsidRPr="00C86F7F" w:rsidRDefault="00C86F7F">
        <w:pPr>
          <w:pStyle w:val="Piedepgina"/>
          <w:jc w:val="right"/>
          <w:rPr>
            <w:b/>
          </w:rPr>
        </w:pPr>
        <w:r w:rsidRPr="00C86F7F">
          <w:rPr>
            <w:b/>
          </w:rPr>
          <w:fldChar w:fldCharType="begin"/>
        </w:r>
        <w:r w:rsidRPr="00C86F7F">
          <w:rPr>
            <w:b/>
          </w:rPr>
          <w:instrText>PAGE   \* MERGEFORMAT</w:instrText>
        </w:r>
        <w:r w:rsidRPr="00C86F7F">
          <w:rPr>
            <w:b/>
          </w:rPr>
          <w:fldChar w:fldCharType="separate"/>
        </w:r>
        <w:r w:rsidR="00764CD1" w:rsidRPr="00764CD1">
          <w:rPr>
            <w:b/>
            <w:noProof/>
            <w:lang w:val="es-ES"/>
          </w:rPr>
          <w:t>4</w:t>
        </w:r>
        <w:r w:rsidRPr="00C86F7F">
          <w:rPr>
            <w:b/>
          </w:rPr>
          <w:fldChar w:fldCharType="end"/>
        </w:r>
      </w:p>
    </w:sdtContent>
  </w:sdt>
  <w:p w:rsidR="00C86F7F" w:rsidRDefault="00C86F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77" w:rsidRDefault="00211377" w:rsidP="00C86F7F">
      <w:r>
        <w:separator/>
      </w:r>
    </w:p>
  </w:footnote>
  <w:footnote w:type="continuationSeparator" w:id="0">
    <w:p w:rsidR="00211377" w:rsidRDefault="00211377" w:rsidP="00C86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0F5"/>
    <w:multiLevelType w:val="hybridMultilevel"/>
    <w:tmpl w:val="1C92764E"/>
    <w:lvl w:ilvl="0" w:tplc="86FC1B48">
      <w:start w:val="1"/>
      <w:numFmt w:val="lowerLetter"/>
      <w:lvlText w:val="%1)"/>
      <w:lvlJc w:val="left"/>
      <w:pPr>
        <w:ind w:left="2520" w:hanging="360"/>
      </w:pPr>
      <w:rPr>
        <w:rFonts w:hint="default"/>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
    <w:nsid w:val="31582CAD"/>
    <w:multiLevelType w:val="hybridMultilevel"/>
    <w:tmpl w:val="43BE2C2A"/>
    <w:lvl w:ilvl="0" w:tplc="A0EAAF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6335B27"/>
    <w:multiLevelType w:val="hybridMultilevel"/>
    <w:tmpl w:val="D46CC4BC"/>
    <w:lvl w:ilvl="0" w:tplc="F8043418">
      <w:start w:val="1"/>
      <w:numFmt w:val="lowerLetter"/>
      <w:lvlText w:val="%1)"/>
      <w:lvlJc w:val="left"/>
      <w:pPr>
        <w:ind w:left="4950" w:hanging="360"/>
      </w:pPr>
      <w:rPr>
        <w:rFonts w:asciiTheme="minorHAnsi" w:eastAsiaTheme="minorEastAsia" w:hAnsiTheme="minorHAnsi" w:cstheme="minorHAnsi"/>
      </w:rPr>
    </w:lvl>
    <w:lvl w:ilvl="1" w:tplc="080A0019" w:tentative="1">
      <w:start w:val="1"/>
      <w:numFmt w:val="lowerLetter"/>
      <w:lvlText w:val="%2."/>
      <w:lvlJc w:val="left"/>
      <w:pPr>
        <w:ind w:left="5670" w:hanging="360"/>
      </w:pPr>
    </w:lvl>
    <w:lvl w:ilvl="2" w:tplc="080A001B" w:tentative="1">
      <w:start w:val="1"/>
      <w:numFmt w:val="lowerRoman"/>
      <w:lvlText w:val="%3."/>
      <w:lvlJc w:val="right"/>
      <w:pPr>
        <w:ind w:left="6390" w:hanging="180"/>
      </w:pPr>
    </w:lvl>
    <w:lvl w:ilvl="3" w:tplc="080A000F" w:tentative="1">
      <w:start w:val="1"/>
      <w:numFmt w:val="decimal"/>
      <w:lvlText w:val="%4."/>
      <w:lvlJc w:val="left"/>
      <w:pPr>
        <w:ind w:left="7110" w:hanging="360"/>
      </w:pPr>
    </w:lvl>
    <w:lvl w:ilvl="4" w:tplc="080A0019" w:tentative="1">
      <w:start w:val="1"/>
      <w:numFmt w:val="lowerLetter"/>
      <w:lvlText w:val="%5."/>
      <w:lvlJc w:val="left"/>
      <w:pPr>
        <w:ind w:left="7830" w:hanging="360"/>
      </w:pPr>
    </w:lvl>
    <w:lvl w:ilvl="5" w:tplc="080A001B" w:tentative="1">
      <w:start w:val="1"/>
      <w:numFmt w:val="lowerRoman"/>
      <w:lvlText w:val="%6."/>
      <w:lvlJc w:val="right"/>
      <w:pPr>
        <w:ind w:left="8550" w:hanging="180"/>
      </w:pPr>
    </w:lvl>
    <w:lvl w:ilvl="6" w:tplc="080A000F" w:tentative="1">
      <w:start w:val="1"/>
      <w:numFmt w:val="decimal"/>
      <w:lvlText w:val="%7."/>
      <w:lvlJc w:val="left"/>
      <w:pPr>
        <w:ind w:left="9270" w:hanging="360"/>
      </w:pPr>
    </w:lvl>
    <w:lvl w:ilvl="7" w:tplc="080A0019" w:tentative="1">
      <w:start w:val="1"/>
      <w:numFmt w:val="lowerLetter"/>
      <w:lvlText w:val="%8."/>
      <w:lvlJc w:val="left"/>
      <w:pPr>
        <w:ind w:left="9990" w:hanging="360"/>
      </w:pPr>
    </w:lvl>
    <w:lvl w:ilvl="8" w:tplc="080A001B" w:tentative="1">
      <w:start w:val="1"/>
      <w:numFmt w:val="lowerRoman"/>
      <w:lvlText w:val="%9."/>
      <w:lvlJc w:val="right"/>
      <w:pPr>
        <w:ind w:left="10710" w:hanging="180"/>
      </w:pPr>
    </w:lvl>
  </w:abstractNum>
  <w:abstractNum w:abstractNumId="3">
    <w:nsid w:val="51D765BD"/>
    <w:multiLevelType w:val="hybridMultilevel"/>
    <w:tmpl w:val="CD74646E"/>
    <w:lvl w:ilvl="0" w:tplc="5E6829AE">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6AA8755E"/>
    <w:multiLevelType w:val="hybridMultilevel"/>
    <w:tmpl w:val="E7B832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71BA3610"/>
    <w:multiLevelType w:val="hybridMultilevel"/>
    <w:tmpl w:val="1C92764E"/>
    <w:lvl w:ilvl="0" w:tplc="86FC1B48">
      <w:start w:val="1"/>
      <w:numFmt w:val="lowerLetter"/>
      <w:lvlText w:val="%1)"/>
      <w:lvlJc w:val="left"/>
      <w:pPr>
        <w:ind w:left="2520" w:hanging="360"/>
      </w:pPr>
      <w:rPr>
        <w:rFonts w:hint="default"/>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6">
    <w:nsid w:val="75CA27D9"/>
    <w:multiLevelType w:val="hybridMultilevel"/>
    <w:tmpl w:val="3F9CB9F2"/>
    <w:lvl w:ilvl="0" w:tplc="F4E0EF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9A74E9D"/>
    <w:multiLevelType w:val="hybridMultilevel"/>
    <w:tmpl w:val="5E5EAD72"/>
    <w:lvl w:ilvl="0" w:tplc="89003D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AB"/>
    <w:rsid w:val="001059E4"/>
    <w:rsid w:val="00107B3F"/>
    <w:rsid w:val="00211377"/>
    <w:rsid w:val="002823D3"/>
    <w:rsid w:val="00315E92"/>
    <w:rsid w:val="00377A2E"/>
    <w:rsid w:val="003E0335"/>
    <w:rsid w:val="00547DFE"/>
    <w:rsid w:val="00565EB6"/>
    <w:rsid w:val="005D31E7"/>
    <w:rsid w:val="006116AF"/>
    <w:rsid w:val="00764CD1"/>
    <w:rsid w:val="008B2139"/>
    <w:rsid w:val="009C6AE7"/>
    <w:rsid w:val="00AC601A"/>
    <w:rsid w:val="00AC6B72"/>
    <w:rsid w:val="00AF0E93"/>
    <w:rsid w:val="00BE22B5"/>
    <w:rsid w:val="00C05AA1"/>
    <w:rsid w:val="00C86F7F"/>
    <w:rsid w:val="00D10A17"/>
    <w:rsid w:val="00E90CDC"/>
    <w:rsid w:val="00F3308D"/>
    <w:rsid w:val="00FC5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A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0A17"/>
    <w:rPr>
      <w:b/>
      <w:bCs/>
    </w:rPr>
  </w:style>
  <w:style w:type="paragraph" w:styleId="Prrafodelista">
    <w:name w:val="List Paragraph"/>
    <w:basedOn w:val="Normal"/>
    <w:uiPriority w:val="34"/>
    <w:qFormat/>
    <w:rsid w:val="00565EB6"/>
    <w:pPr>
      <w:ind w:left="720"/>
      <w:contextualSpacing/>
    </w:pPr>
  </w:style>
  <w:style w:type="paragraph" w:styleId="Sinespaciado">
    <w:name w:val="No Spacing"/>
    <w:uiPriority w:val="1"/>
    <w:qFormat/>
    <w:rsid w:val="00565EB6"/>
    <w:rPr>
      <w:noProof/>
    </w:rPr>
  </w:style>
  <w:style w:type="character" w:styleId="Refdecomentario">
    <w:name w:val="annotation reference"/>
    <w:basedOn w:val="Fuentedeprrafopredeter"/>
    <w:uiPriority w:val="99"/>
    <w:semiHidden/>
    <w:unhideWhenUsed/>
    <w:rsid w:val="00FC52AB"/>
    <w:rPr>
      <w:sz w:val="16"/>
      <w:szCs w:val="16"/>
    </w:rPr>
  </w:style>
  <w:style w:type="paragraph" w:styleId="Textocomentario">
    <w:name w:val="annotation text"/>
    <w:basedOn w:val="Normal"/>
    <w:link w:val="TextocomentarioCar"/>
    <w:uiPriority w:val="99"/>
    <w:semiHidden/>
    <w:unhideWhenUsed/>
    <w:rsid w:val="00FC52AB"/>
    <w:rPr>
      <w:sz w:val="20"/>
      <w:szCs w:val="20"/>
    </w:rPr>
  </w:style>
  <w:style w:type="character" w:customStyle="1" w:styleId="TextocomentarioCar">
    <w:name w:val="Texto comentario Car"/>
    <w:basedOn w:val="Fuentedeprrafopredeter"/>
    <w:link w:val="Textocomentario"/>
    <w:uiPriority w:val="99"/>
    <w:semiHidden/>
    <w:rsid w:val="00FC52AB"/>
    <w:rPr>
      <w:rFonts w:eastAsiaTheme="minorEastAsia"/>
      <w:sz w:val="20"/>
      <w:szCs w:val="20"/>
      <w:lang w:eastAsia="es-MX"/>
    </w:rPr>
  </w:style>
  <w:style w:type="paragraph" w:styleId="Textodeglobo">
    <w:name w:val="Balloon Text"/>
    <w:basedOn w:val="Normal"/>
    <w:link w:val="TextodegloboCar"/>
    <w:uiPriority w:val="99"/>
    <w:semiHidden/>
    <w:unhideWhenUsed/>
    <w:rsid w:val="00FC52AB"/>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2AB"/>
    <w:rPr>
      <w:rFonts w:ascii="Tahoma" w:eastAsiaTheme="minorEastAsia" w:hAnsi="Tahoma" w:cs="Tahoma"/>
      <w:sz w:val="16"/>
      <w:szCs w:val="16"/>
      <w:lang w:eastAsia="es-MX"/>
    </w:rPr>
  </w:style>
  <w:style w:type="paragraph" w:customStyle="1" w:styleId="Default">
    <w:name w:val="Default"/>
    <w:rsid w:val="00FC52AB"/>
    <w:pPr>
      <w:autoSpaceDE w:val="0"/>
      <w:autoSpaceDN w:val="0"/>
      <w:adjustRightInd w:val="0"/>
    </w:pPr>
    <w:rPr>
      <w:rFonts w:ascii="Calibri" w:hAnsi="Calibri" w:cs="Calibri"/>
      <w:color w:val="000000"/>
      <w:sz w:val="24"/>
      <w:szCs w:val="24"/>
    </w:rPr>
  </w:style>
  <w:style w:type="paragraph" w:styleId="Lista2">
    <w:name w:val="List 2"/>
    <w:basedOn w:val="Normal"/>
    <w:uiPriority w:val="99"/>
    <w:unhideWhenUsed/>
    <w:rsid w:val="00AF0E93"/>
    <w:pPr>
      <w:ind w:left="566" w:hanging="283"/>
      <w:contextualSpacing/>
    </w:pPr>
  </w:style>
  <w:style w:type="paragraph" w:styleId="Saludo">
    <w:name w:val="Salutation"/>
    <w:basedOn w:val="Normal"/>
    <w:next w:val="Normal"/>
    <w:link w:val="SaludoCar"/>
    <w:uiPriority w:val="99"/>
    <w:unhideWhenUsed/>
    <w:rsid w:val="00AF0E93"/>
  </w:style>
  <w:style w:type="character" w:customStyle="1" w:styleId="SaludoCar">
    <w:name w:val="Saludo Car"/>
    <w:basedOn w:val="Fuentedeprrafopredeter"/>
    <w:link w:val="Saludo"/>
    <w:uiPriority w:val="99"/>
    <w:rsid w:val="00AF0E93"/>
    <w:rPr>
      <w:rFonts w:eastAsiaTheme="minorEastAsia"/>
      <w:lang w:eastAsia="es-MX"/>
    </w:rPr>
  </w:style>
  <w:style w:type="paragraph" w:styleId="Textoindependiente">
    <w:name w:val="Body Text"/>
    <w:basedOn w:val="Normal"/>
    <w:link w:val="TextoindependienteCar"/>
    <w:uiPriority w:val="99"/>
    <w:unhideWhenUsed/>
    <w:rsid w:val="00AF0E93"/>
    <w:pPr>
      <w:spacing w:after="120"/>
    </w:pPr>
  </w:style>
  <w:style w:type="character" w:customStyle="1" w:styleId="TextoindependienteCar">
    <w:name w:val="Texto independiente Car"/>
    <w:basedOn w:val="Fuentedeprrafopredeter"/>
    <w:link w:val="Textoindependiente"/>
    <w:uiPriority w:val="99"/>
    <w:rsid w:val="00AF0E93"/>
    <w:rPr>
      <w:rFonts w:eastAsiaTheme="minorEastAsia"/>
      <w:lang w:eastAsia="es-MX"/>
    </w:rPr>
  </w:style>
  <w:style w:type="paragraph" w:styleId="Encabezado">
    <w:name w:val="header"/>
    <w:basedOn w:val="Normal"/>
    <w:link w:val="EncabezadoCar"/>
    <w:uiPriority w:val="99"/>
    <w:unhideWhenUsed/>
    <w:rsid w:val="00C86F7F"/>
    <w:pPr>
      <w:tabs>
        <w:tab w:val="center" w:pos="4419"/>
        <w:tab w:val="right" w:pos="8838"/>
      </w:tabs>
    </w:pPr>
  </w:style>
  <w:style w:type="character" w:customStyle="1" w:styleId="EncabezadoCar">
    <w:name w:val="Encabezado Car"/>
    <w:basedOn w:val="Fuentedeprrafopredeter"/>
    <w:link w:val="Encabezado"/>
    <w:uiPriority w:val="99"/>
    <w:rsid w:val="00C86F7F"/>
    <w:rPr>
      <w:rFonts w:eastAsiaTheme="minorEastAsia"/>
      <w:lang w:eastAsia="es-MX"/>
    </w:rPr>
  </w:style>
  <w:style w:type="paragraph" w:styleId="Piedepgina">
    <w:name w:val="footer"/>
    <w:basedOn w:val="Normal"/>
    <w:link w:val="PiedepginaCar"/>
    <w:uiPriority w:val="99"/>
    <w:unhideWhenUsed/>
    <w:rsid w:val="00C86F7F"/>
    <w:pPr>
      <w:tabs>
        <w:tab w:val="center" w:pos="4419"/>
        <w:tab w:val="right" w:pos="8838"/>
      </w:tabs>
    </w:pPr>
  </w:style>
  <w:style w:type="character" w:customStyle="1" w:styleId="PiedepginaCar">
    <w:name w:val="Pie de página Car"/>
    <w:basedOn w:val="Fuentedeprrafopredeter"/>
    <w:link w:val="Piedepgina"/>
    <w:uiPriority w:val="99"/>
    <w:rsid w:val="00C86F7F"/>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A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0A17"/>
    <w:rPr>
      <w:b/>
      <w:bCs/>
    </w:rPr>
  </w:style>
  <w:style w:type="paragraph" w:styleId="Prrafodelista">
    <w:name w:val="List Paragraph"/>
    <w:basedOn w:val="Normal"/>
    <w:uiPriority w:val="34"/>
    <w:qFormat/>
    <w:rsid w:val="00565EB6"/>
    <w:pPr>
      <w:ind w:left="720"/>
      <w:contextualSpacing/>
    </w:pPr>
  </w:style>
  <w:style w:type="paragraph" w:styleId="Sinespaciado">
    <w:name w:val="No Spacing"/>
    <w:uiPriority w:val="1"/>
    <w:qFormat/>
    <w:rsid w:val="00565EB6"/>
    <w:rPr>
      <w:noProof/>
    </w:rPr>
  </w:style>
  <w:style w:type="character" w:styleId="Refdecomentario">
    <w:name w:val="annotation reference"/>
    <w:basedOn w:val="Fuentedeprrafopredeter"/>
    <w:uiPriority w:val="99"/>
    <w:semiHidden/>
    <w:unhideWhenUsed/>
    <w:rsid w:val="00FC52AB"/>
    <w:rPr>
      <w:sz w:val="16"/>
      <w:szCs w:val="16"/>
    </w:rPr>
  </w:style>
  <w:style w:type="paragraph" w:styleId="Textocomentario">
    <w:name w:val="annotation text"/>
    <w:basedOn w:val="Normal"/>
    <w:link w:val="TextocomentarioCar"/>
    <w:uiPriority w:val="99"/>
    <w:semiHidden/>
    <w:unhideWhenUsed/>
    <w:rsid w:val="00FC52AB"/>
    <w:rPr>
      <w:sz w:val="20"/>
      <w:szCs w:val="20"/>
    </w:rPr>
  </w:style>
  <w:style w:type="character" w:customStyle="1" w:styleId="TextocomentarioCar">
    <w:name w:val="Texto comentario Car"/>
    <w:basedOn w:val="Fuentedeprrafopredeter"/>
    <w:link w:val="Textocomentario"/>
    <w:uiPriority w:val="99"/>
    <w:semiHidden/>
    <w:rsid w:val="00FC52AB"/>
    <w:rPr>
      <w:rFonts w:eastAsiaTheme="minorEastAsia"/>
      <w:sz w:val="20"/>
      <w:szCs w:val="20"/>
      <w:lang w:eastAsia="es-MX"/>
    </w:rPr>
  </w:style>
  <w:style w:type="paragraph" w:styleId="Textodeglobo">
    <w:name w:val="Balloon Text"/>
    <w:basedOn w:val="Normal"/>
    <w:link w:val="TextodegloboCar"/>
    <w:uiPriority w:val="99"/>
    <w:semiHidden/>
    <w:unhideWhenUsed/>
    <w:rsid w:val="00FC52AB"/>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2AB"/>
    <w:rPr>
      <w:rFonts w:ascii="Tahoma" w:eastAsiaTheme="minorEastAsia" w:hAnsi="Tahoma" w:cs="Tahoma"/>
      <w:sz w:val="16"/>
      <w:szCs w:val="16"/>
      <w:lang w:eastAsia="es-MX"/>
    </w:rPr>
  </w:style>
  <w:style w:type="paragraph" w:customStyle="1" w:styleId="Default">
    <w:name w:val="Default"/>
    <w:rsid w:val="00FC52AB"/>
    <w:pPr>
      <w:autoSpaceDE w:val="0"/>
      <w:autoSpaceDN w:val="0"/>
      <w:adjustRightInd w:val="0"/>
    </w:pPr>
    <w:rPr>
      <w:rFonts w:ascii="Calibri" w:hAnsi="Calibri" w:cs="Calibri"/>
      <w:color w:val="000000"/>
      <w:sz w:val="24"/>
      <w:szCs w:val="24"/>
    </w:rPr>
  </w:style>
  <w:style w:type="paragraph" w:styleId="Lista2">
    <w:name w:val="List 2"/>
    <w:basedOn w:val="Normal"/>
    <w:uiPriority w:val="99"/>
    <w:unhideWhenUsed/>
    <w:rsid w:val="00AF0E93"/>
    <w:pPr>
      <w:ind w:left="566" w:hanging="283"/>
      <w:contextualSpacing/>
    </w:pPr>
  </w:style>
  <w:style w:type="paragraph" w:styleId="Saludo">
    <w:name w:val="Salutation"/>
    <w:basedOn w:val="Normal"/>
    <w:next w:val="Normal"/>
    <w:link w:val="SaludoCar"/>
    <w:uiPriority w:val="99"/>
    <w:unhideWhenUsed/>
    <w:rsid w:val="00AF0E93"/>
  </w:style>
  <w:style w:type="character" w:customStyle="1" w:styleId="SaludoCar">
    <w:name w:val="Saludo Car"/>
    <w:basedOn w:val="Fuentedeprrafopredeter"/>
    <w:link w:val="Saludo"/>
    <w:uiPriority w:val="99"/>
    <w:rsid w:val="00AF0E93"/>
    <w:rPr>
      <w:rFonts w:eastAsiaTheme="minorEastAsia"/>
      <w:lang w:eastAsia="es-MX"/>
    </w:rPr>
  </w:style>
  <w:style w:type="paragraph" w:styleId="Textoindependiente">
    <w:name w:val="Body Text"/>
    <w:basedOn w:val="Normal"/>
    <w:link w:val="TextoindependienteCar"/>
    <w:uiPriority w:val="99"/>
    <w:unhideWhenUsed/>
    <w:rsid w:val="00AF0E93"/>
    <w:pPr>
      <w:spacing w:after="120"/>
    </w:pPr>
  </w:style>
  <w:style w:type="character" w:customStyle="1" w:styleId="TextoindependienteCar">
    <w:name w:val="Texto independiente Car"/>
    <w:basedOn w:val="Fuentedeprrafopredeter"/>
    <w:link w:val="Textoindependiente"/>
    <w:uiPriority w:val="99"/>
    <w:rsid w:val="00AF0E93"/>
    <w:rPr>
      <w:rFonts w:eastAsiaTheme="minorEastAsia"/>
      <w:lang w:eastAsia="es-MX"/>
    </w:rPr>
  </w:style>
  <w:style w:type="paragraph" w:styleId="Encabezado">
    <w:name w:val="header"/>
    <w:basedOn w:val="Normal"/>
    <w:link w:val="EncabezadoCar"/>
    <w:uiPriority w:val="99"/>
    <w:unhideWhenUsed/>
    <w:rsid w:val="00C86F7F"/>
    <w:pPr>
      <w:tabs>
        <w:tab w:val="center" w:pos="4419"/>
        <w:tab w:val="right" w:pos="8838"/>
      </w:tabs>
    </w:pPr>
  </w:style>
  <w:style w:type="character" w:customStyle="1" w:styleId="EncabezadoCar">
    <w:name w:val="Encabezado Car"/>
    <w:basedOn w:val="Fuentedeprrafopredeter"/>
    <w:link w:val="Encabezado"/>
    <w:uiPriority w:val="99"/>
    <w:rsid w:val="00C86F7F"/>
    <w:rPr>
      <w:rFonts w:eastAsiaTheme="minorEastAsia"/>
      <w:lang w:eastAsia="es-MX"/>
    </w:rPr>
  </w:style>
  <w:style w:type="paragraph" w:styleId="Piedepgina">
    <w:name w:val="footer"/>
    <w:basedOn w:val="Normal"/>
    <w:link w:val="PiedepginaCar"/>
    <w:uiPriority w:val="99"/>
    <w:unhideWhenUsed/>
    <w:rsid w:val="00C86F7F"/>
    <w:pPr>
      <w:tabs>
        <w:tab w:val="center" w:pos="4419"/>
        <w:tab w:val="right" w:pos="8838"/>
      </w:tabs>
    </w:pPr>
  </w:style>
  <w:style w:type="character" w:customStyle="1" w:styleId="PiedepginaCar">
    <w:name w:val="Pie de página Car"/>
    <w:basedOn w:val="Fuentedeprrafopredeter"/>
    <w:link w:val="Piedepgina"/>
    <w:uiPriority w:val="99"/>
    <w:rsid w:val="00C86F7F"/>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2169</Words>
  <Characters>11932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Federación</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Alfredo Rodriguez Alatorre</dc:creator>
  <cp:lastModifiedBy>Alejandro Alfredo Rodriguez Alatorre</cp:lastModifiedBy>
  <cp:revision>10</cp:revision>
  <cp:lastPrinted>2016-04-22T17:08:00Z</cp:lastPrinted>
  <dcterms:created xsi:type="dcterms:W3CDTF">2016-04-22T16:34:00Z</dcterms:created>
  <dcterms:modified xsi:type="dcterms:W3CDTF">2016-05-16T17:12:00Z</dcterms:modified>
</cp:coreProperties>
</file>